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E5" w:rsidRDefault="007E56E5" w:rsidP="007019E1">
      <w:pPr>
        <w:jc w:val="center"/>
        <w:rPr>
          <w:rFonts w:ascii="Calibri" w:hAnsi="Calibri" w:cs="Calibri"/>
          <w:sz w:val="22"/>
          <w:szCs w:val="22"/>
        </w:rPr>
      </w:pPr>
      <w:r w:rsidRPr="00036B33">
        <w:rPr>
          <w:rFonts w:asciiTheme="minorHAnsi" w:hAnsiTheme="minorHAnsi" w:cs="Calibri"/>
          <w:b/>
          <w:color w:val="548DD4" w:themeColor="text2" w:themeTint="99"/>
          <w:sz w:val="26"/>
          <w:szCs w:val="26"/>
        </w:rPr>
        <w:t>What c</w:t>
      </w:r>
      <w:r w:rsidR="004343C3" w:rsidRPr="00036B33">
        <w:rPr>
          <w:rFonts w:asciiTheme="minorHAnsi" w:hAnsiTheme="minorHAnsi" w:cs="Calibri"/>
          <w:b/>
          <w:color w:val="548DD4" w:themeColor="text2" w:themeTint="99"/>
          <w:sz w:val="26"/>
          <w:szCs w:val="26"/>
        </w:rPr>
        <w:t xml:space="preserve">an you expect from our service? </w:t>
      </w:r>
      <w:r w:rsidR="00036B33">
        <w:rPr>
          <w:rFonts w:asciiTheme="minorHAnsi" w:hAnsiTheme="minorHAnsi" w:cs="Calibri"/>
          <w:b/>
          <w:color w:val="548DD4" w:themeColor="text2" w:themeTint="99"/>
          <w:sz w:val="26"/>
          <w:szCs w:val="26"/>
        </w:rPr>
        <w:t>201</w:t>
      </w:r>
      <w:r w:rsidR="003B4845">
        <w:rPr>
          <w:rFonts w:asciiTheme="minorHAnsi" w:hAnsiTheme="minorHAnsi" w:cs="Calibri"/>
          <w:b/>
          <w:color w:val="548DD4" w:themeColor="text2" w:themeTint="99"/>
          <w:sz w:val="26"/>
          <w:szCs w:val="26"/>
        </w:rPr>
        <w:t>6/17</w:t>
      </w:r>
      <w:r w:rsidR="00036B33">
        <w:rPr>
          <w:rFonts w:asciiTheme="minorHAnsi" w:hAnsiTheme="minorHAnsi" w:cs="Calibri"/>
          <w:b/>
          <w:color w:val="548DD4" w:themeColor="text2" w:themeTint="99"/>
          <w:sz w:val="26"/>
          <w:szCs w:val="26"/>
        </w:rPr>
        <w:t xml:space="preserve"> p</w:t>
      </w:r>
      <w:r w:rsidRPr="00036B33">
        <w:rPr>
          <w:rFonts w:asciiTheme="minorHAnsi" w:hAnsiTheme="minorHAnsi" w:cs="Calibri"/>
          <w:b/>
          <w:color w:val="548DD4" w:themeColor="text2" w:themeTint="99"/>
          <w:sz w:val="26"/>
          <w:szCs w:val="26"/>
        </w:rPr>
        <w:t>erformance against standards</w:t>
      </w:r>
    </w:p>
    <w:tbl>
      <w:tblPr>
        <w:tblStyle w:val="TableGrid"/>
        <w:tblW w:w="10065" w:type="dxa"/>
        <w:tblInd w:w="-318" w:type="dxa"/>
        <w:tblLook w:val="04A0" w:firstRow="1" w:lastRow="0" w:firstColumn="1" w:lastColumn="0" w:noHBand="0" w:noVBand="1"/>
      </w:tblPr>
      <w:tblGrid>
        <w:gridCol w:w="4395"/>
        <w:gridCol w:w="5670"/>
      </w:tblGrid>
      <w:tr w:rsidR="004343C3" w:rsidTr="00036B33">
        <w:tc>
          <w:tcPr>
            <w:tcW w:w="10065" w:type="dxa"/>
            <w:gridSpan w:val="2"/>
            <w:shd w:val="clear" w:color="auto" w:fill="8DB3E2" w:themeFill="text2" w:themeFillTint="66"/>
          </w:tcPr>
          <w:p w:rsidR="004343C3" w:rsidRPr="00036B33" w:rsidRDefault="004343C3" w:rsidP="007E56E5">
            <w:pPr>
              <w:rPr>
                <w:rFonts w:ascii="Calibri" w:hAnsi="Calibri" w:cs="Calibri"/>
                <w:b/>
                <w:sz w:val="22"/>
                <w:szCs w:val="22"/>
              </w:rPr>
            </w:pPr>
            <w:r w:rsidRPr="00036B33">
              <w:rPr>
                <w:rFonts w:ascii="Calibri" w:hAnsi="Calibri" w:cs="Calibri"/>
                <w:b/>
                <w:color w:val="FFFFFF" w:themeColor="background1"/>
                <w:sz w:val="22"/>
                <w:szCs w:val="22"/>
              </w:rPr>
              <w:t>Enquiry services</w:t>
            </w:r>
          </w:p>
        </w:tc>
      </w:tr>
      <w:tr w:rsidR="00C456F0" w:rsidTr="004343C3">
        <w:tc>
          <w:tcPr>
            <w:tcW w:w="4395" w:type="dxa"/>
          </w:tcPr>
          <w:p w:rsidR="00C456F0" w:rsidRDefault="00C456F0" w:rsidP="007E56E5">
            <w:pPr>
              <w:rPr>
                <w:rFonts w:ascii="Calibri" w:hAnsi="Calibri" w:cs="Calibri"/>
                <w:sz w:val="22"/>
                <w:szCs w:val="22"/>
              </w:rPr>
            </w:pPr>
            <w:r>
              <w:rPr>
                <w:rFonts w:ascii="Calibri" w:hAnsi="Calibri" w:cs="Calibri"/>
                <w:sz w:val="22"/>
                <w:szCs w:val="22"/>
              </w:rPr>
              <w:t>All enquiries will be dealt with in an appropriate time period agreed with our customers</w:t>
            </w:r>
          </w:p>
        </w:tc>
        <w:tc>
          <w:tcPr>
            <w:tcW w:w="5670" w:type="dxa"/>
          </w:tcPr>
          <w:p w:rsidR="00C456F0" w:rsidRDefault="00C456F0" w:rsidP="007E56E5">
            <w:pPr>
              <w:rPr>
                <w:rFonts w:ascii="Calibri" w:hAnsi="Calibri" w:cs="Calibri"/>
                <w:sz w:val="22"/>
                <w:szCs w:val="22"/>
              </w:rPr>
            </w:pPr>
            <w:r>
              <w:rPr>
                <w:rFonts w:ascii="Calibri" w:hAnsi="Calibri" w:cs="Calibri"/>
                <w:sz w:val="22"/>
                <w:szCs w:val="22"/>
              </w:rPr>
              <w:t xml:space="preserve">The enquiry desks at Rotherham Hospital and Oak House were staffed during all our opening hours.  We responded to the majority of enquiries on the spot or, if this is not possible, got back to users as soon as possible.  </w:t>
            </w:r>
          </w:p>
        </w:tc>
      </w:tr>
      <w:tr w:rsidR="00C456F0" w:rsidTr="004343C3">
        <w:tc>
          <w:tcPr>
            <w:tcW w:w="4395" w:type="dxa"/>
          </w:tcPr>
          <w:p w:rsidR="00C456F0" w:rsidRDefault="00C456F0" w:rsidP="007E56E5">
            <w:pPr>
              <w:rPr>
                <w:rFonts w:ascii="Calibri" w:hAnsi="Calibri" w:cs="Calibri"/>
                <w:sz w:val="22"/>
                <w:szCs w:val="22"/>
              </w:rPr>
            </w:pPr>
            <w:r>
              <w:rPr>
                <w:rFonts w:ascii="Calibri" w:hAnsi="Calibri" w:cs="Calibri"/>
                <w:sz w:val="22"/>
                <w:szCs w:val="22"/>
              </w:rPr>
              <w:t>All e-mails to the library mail boxes will be responded to within 24 hours</w:t>
            </w:r>
          </w:p>
          <w:p w:rsidR="00C456F0" w:rsidRDefault="00C456F0" w:rsidP="007E56E5">
            <w:pPr>
              <w:rPr>
                <w:rFonts w:ascii="Calibri" w:hAnsi="Calibri" w:cs="Calibri"/>
                <w:sz w:val="22"/>
                <w:szCs w:val="22"/>
              </w:rPr>
            </w:pPr>
          </w:p>
        </w:tc>
        <w:tc>
          <w:tcPr>
            <w:tcW w:w="5670" w:type="dxa"/>
          </w:tcPr>
          <w:p w:rsidR="00C456F0" w:rsidRDefault="00C456F0" w:rsidP="007E56E5">
            <w:pPr>
              <w:rPr>
                <w:rFonts w:ascii="Calibri" w:hAnsi="Calibri" w:cs="Calibri"/>
                <w:sz w:val="22"/>
                <w:szCs w:val="22"/>
              </w:rPr>
            </w:pPr>
            <w:r>
              <w:rPr>
                <w:rFonts w:ascii="Calibri" w:hAnsi="Calibri" w:cs="Calibri"/>
                <w:sz w:val="22"/>
                <w:szCs w:val="22"/>
              </w:rPr>
              <w:t>The LKS mail boxes were checked regularly thr</w:t>
            </w:r>
            <w:r w:rsidR="00036B33">
              <w:rPr>
                <w:rFonts w:ascii="Calibri" w:hAnsi="Calibri" w:cs="Calibri"/>
                <w:sz w:val="22"/>
                <w:szCs w:val="22"/>
              </w:rPr>
              <w:t xml:space="preserve">oughout the day during opening </w:t>
            </w:r>
            <w:r>
              <w:rPr>
                <w:rFonts w:ascii="Calibri" w:hAnsi="Calibri" w:cs="Calibri"/>
                <w:sz w:val="22"/>
                <w:szCs w:val="22"/>
              </w:rPr>
              <w:t>hours and all e-mail</w:t>
            </w:r>
            <w:r w:rsidR="00036B33">
              <w:rPr>
                <w:rFonts w:ascii="Calibri" w:hAnsi="Calibri" w:cs="Calibri"/>
                <w:sz w:val="22"/>
                <w:szCs w:val="22"/>
              </w:rPr>
              <w:t>s</w:t>
            </w:r>
            <w:r w:rsidR="00BC4DEB">
              <w:rPr>
                <w:rFonts w:ascii="Calibri" w:hAnsi="Calibri" w:cs="Calibri"/>
                <w:sz w:val="22"/>
                <w:szCs w:val="22"/>
              </w:rPr>
              <w:t xml:space="preserve"> were responded to within 24</w:t>
            </w:r>
            <w:r>
              <w:rPr>
                <w:rFonts w:ascii="Calibri" w:hAnsi="Calibri" w:cs="Calibri"/>
                <w:sz w:val="22"/>
                <w:szCs w:val="22"/>
              </w:rPr>
              <w:t xml:space="preserve"> hours</w:t>
            </w:r>
            <w:r w:rsidR="009107FB">
              <w:rPr>
                <w:rFonts w:ascii="Calibri" w:hAnsi="Calibri" w:cs="Calibri"/>
                <w:sz w:val="22"/>
                <w:szCs w:val="22"/>
              </w:rPr>
              <w:t xml:space="preserve"> (weekdays)</w:t>
            </w:r>
            <w:r>
              <w:rPr>
                <w:rFonts w:ascii="Calibri" w:hAnsi="Calibri" w:cs="Calibri"/>
                <w:sz w:val="22"/>
                <w:szCs w:val="22"/>
              </w:rPr>
              <w:t>.</w:t>
            </w:r>
          </w:p>
        </w:tc>
      </w:tr>
      <w:tr w:rsidR="00C456F0" w:rsidTr="004343C3">
        <w:tc>
          <w:tcPr>
            <w:tcW w:w="4395" w:type="dxa"/>
          </w:tcPr>
          <w:p w:rsidR="00C456F0" w:rsidRDefault="00C456F0" w:rsidP="007E56E5">
            <w:pPr>
              <w:rPr>
                <w:rFonts w:ascii="Calibri" w:hAnsi="Calibri" w:cs="Calibri"/>
                <w:sz w:val="22"/>
                <w:szCs w:val="22"/>
              </w:rPr>
            </w:pPr>
            <w:r>
              <w:rPr>
                <w:rFonts w:ascii="Calibri" w:hAnsi="Calibri" w:cs="Calibri"/>
                <w:sz w:val="22"/>
                <w:szCs w:val="22"/>
              </w:rPr>
              <w:t>Service points at Rotherham Hospital and Oak House will be staffed during opening hours</w:t>
            </w:r>
          </w:p>
          <w:p w:rsidR="00C456F0" w:rsidRDefault="00C456F0" w:rsidP="007E56E5">
            <w:pPr>
              <w:rPr>
                <w:rFonts w:ascii="Calibri" w:hAnsi="Calibri" w:cs="Calibri"/>
                <w:sz w:val="22"/>
                <w:szCs w:val="22"/>
              </w:rPr>
            </w:pPr>
          </w:p>
        </w:tc>
        <w:tc>
          <w:tcPr>
            <w:tcW w:w="5670" w:type="dxa"/>
          </w:tcPr>
          <w:p w:rsidR="00C456F0" w:rsidRDefault="00C456F0" w:rsidP="007E56E5">
            <w:pPr>
              <w:rPr>
                <w:rFonts w:ascii="Calibri" w:hAnsi="Calibri" w:cs="Calibri"/>
                <w:sz w:val="22"/>
                <w:szCs w:val="22"/>
              </w:rPr>
            </w:pPr>
            <w:r>
              <w:rPr>
                <w:rFonts w:ascii="Calibri" w:hAnsi="Calibri" w:cs="Calibri"/>
                <w:sz w:val="22"/>
                <w:szCs w:val="22"/>
              </w:rPr>
              <w:t>Rotherham Hospital: 99.9%</w:t>
            </w:r>
          </w:p>
          <w:p w:rsidR="00C456F0" w:rsidRDefault="00C456F0" w:rsidP="007E56E5">
            <w:pPr>
              <w:rPr>
                <w:rFonts w:ascii="Calibri" w:hAnsi="Calibri" w:cs="Calibri"/>
                <w:sz w:val="22"/>
                <w:szCs w:val="22"/>
              </w:rPr>
            </w:pPr>
            <w:r>
              <w:rPr>
                <w:rFonts w:ascii="Calibri" w:hAnsi="Calibri" w:cs="Calibri"/>
                <w:sz w:val="22"/>
                <w:szCs w:val="22"/>
              </w:rPr>
              <w:t>Oak House: 99%</w:t>
            </w:r>
          </w:p>
        </w:tc>
      </w:tr>
      <w:tr w:rsidR="004343C3" w:rsidTr="00036B33">
        <w:tc>
          <w:tcPr>
            <w:tcW w:w="10065" w:type="dxa"/>
            <w:gridSpan w:val="2"/>
            <w:shd w:val="clear" w:color="auto" w:fill="8DB3E2" w:themeFill="text2" w:themeFillTint="66"/>
          </w:tcPr>
          <w:p w:rsidR="004343C3" w:rsidRPr="00036B33" w:rsidRDefault="004343C3" w:rsidP="007E56E5">
            <w:pPr>
              <w:rPr>
                <w:rFonts w:ascii="Calibri" w:hAnsi="Calibri" w:cs="Calibri"/>
                <w:b/>
                <w:sz w:val="22"/>
                <w:szCs w:val="22"/>
              </w:rPr>
            </w:pPr>
            <w:r w:rsidRPr="00036B33">
              <w:rPr>
                <w:rFonts w:ascii="Calibri" w:hAnsi="Calibri" w:cs="Calibri"/>
                <w:b/>
                <w:color w:val="FFFFFF" w:themeColor="background1"/>
                <w:sz w:val="22"/>
                <w:szCs w:val="22"/>
              </w:rPr>
              <w:t>Literature searches and evidence summaries</w:t>
            </w:r>
          </w:p>
        </w:tc>
      </w:tr>
      <w:tr w:rsidR="00C456F0" w:rsidTr="004343C3">
        <w:tc>
          <w:tcPr>
            <w:tcW w:w="4395" w:type="dxa"/>
          </w:tcPr>
          <w:p w:rsidR="00C456F0" w:rsidRDefault="00C456F0" w:rsidP="007E56E5">
            <w:pPr>
              <w:rPr>
                <w:rFonts w:ascii="Calibri" w:hAnsi="Calibri" w:cs="Calibri"/>
                <w:sz w:val="22"/>
                <w:szCs w:val="22"/>
              </w:rPr>
            </w:pPr>
            <w:r>
              <w:rPr>
                <w:rFonts w:ascii="Calibri" w:hAnsi="Calibri" w:cs="Calibri"/>
                <w:sz w:val="22"/>
                <w:szCs w:val="22"/>
              </w:rPr>
              <w:t>We aim to meet all customer deadlines for literature searches</w:t>
            </w:r>
            <w:r w:rsidR="004343C3">
              <w:rPr>
                <w:rFonts w:ascii="Calibri" w:hAnsi="Calibri" w:cs="Calibri"/>
                <w:sz w:val="22"/>
                <w:szCs w:val="22"/>
              </w:rPr>
              <w:t xml:space="preserve"> and evidence summaries</w:t>
            </w:r>
          </w:p>
          <w:p w:rsidR="00C456F0" w:rsidRDefault="00C456F0" w:rsidP="007E56E5">
            <w:pPr>
              <w:rPr>
                <w:rFonts w:ascii="Calibri" w:hAnsi="Calibri" w:cs="Calibri"/>
                <w:sz w:val="22"/>
                <w:szCs w:val="22"/>
              </w:rPr>
            </w:pPr>
          </w:p>
        </w:tc>
        <w:tc>
          <w:tcPr>
            <w:tcW w:w="5670" w:type="dxa"/>
          </w:tcPr>
          <w:p w:rsidR="00C456F0" w:rsidRDefault="00C456F0" w:rsidP="003B4845">
            <w:pPr>
              <w:rPr>
                <w:rFonts w:ascii="Calibri" w:hAnsi="Calibri" w:cs="Calibri"/>
                <w:sz w:val="22"/>
                <w:szCs w:val="22"/>
              </w:rPr>
            </w:pPr>
            <w:r>
              <w:rPr>
                <w:rFonts w:ascii="Calibri" w:hAnsi="Calibri" w:cs="Calibri"/>
                <w:sz w:val="22"/>
                <w:szCs w:val="22"/>
              </w:rPr>
              <w:t>99.</w:t>
            </w:r>
            <w:r w:rsidR="003B4845">
              <w:rPr>
                <w:rFonts w:ascii="Calibri" w:hAnsi="Calibri" w:cs="Calibri"/>
                <w:sz w:val="22"/>
                <w:szCs w:val="22"/>
              </w:rPr>
              <w:t>9</w:t>
            </w:r>
            <w:r>
              <w:rPr>
                <w:rFonts w:ascii="Calibri" w:hAnsi="Calibri" w:cs="Calibri"/>
                <w:sz w:val="22"/>
                <w:szCs w:val="22"/>
              </w:rPr>
              <w:t>% of deadlines were met</w:t>
            </w:r>
          </w:p>
        </w:tc>
      </w:tr>
      <w:tr w:rsidR="00036B33" w:rsidTr="00036B33">
        <w:tc>
          <w:tcPr>
            <w:tcW w:w="10065" w:type="dxa"/>
            <w:gridSpan w:val="2"/>
            <w:shd w:val="clear" w:color="auto" w:fill="8DB3E2" w:themeFill="text2" w:themeFillTint="66"/>
          </w:tcPr>
          <w:p w:rsidR="00036B33" w:rsidRPr="00036B33" w:rsidRDefault="00036B33" w:rsidP="007E56E5">
            <w:pPr>
              <w:rPr>
                <w:rFonts w:ascii="Calibri" w:hAnsi="Calibri" w:cs="Calibri"/>
                <w:b/>
                <w:sz w:val="22"/>
                <w:szCs w:val="22"/>
              </w:rPr>
            </w:pPr>
            <w:r w:rsidRPr="00036B33">
              <w:rPr>
                <w:rFonts w:ascii="Calibri" w:hAnsi="Calibri" w:cs="Calibri"/>
                <w:b/>
                <w:color w:val="FFFFFF" w:themeColor="background1"/>
                <w:sz w:val="22"/>
                <w:szCs w:val="22"/>
              </w:rPr>
              <w:t>Information skills training</w:t>
            </w:r>
          </w:p>
        </w:tc>
      </w:tr>
      <w:tr w:rsidR="00C456F0" w:rsidTr="004343C3">
        <w:tc>
          <w:tcPr>
            <w:tcW w:w="4395" w:type="dxa"/>
          </w:tcPr>
          <w:p w:rsidR="00C456F0" w:rsidRDefault="00C456F0" w:rsidP="007E56E5">
            <w:pPr>
              <w:rPr>
                <w:rFonts w:ascii="Calibri" w:hAnsi="Calibri" w:cs="Calibri"/>
                <w:sz w:val="22"/>
                <w:szCs w:val="22"/>
              </w:rPr>
            </w:pPr>
            <w:r>
              <w:rPr>
                <w:rFonts w:ascii="Calibri" w:hAnsi="Calibri" w:cs="Calibri"/>
                <w:sz w:val="22"/>
                <w:szCs w:val="22"/>
              </w:rPr>
              <w:t>We offer training to suit all levels of ability at a suitable venue (including your workplace) and at a time convenient to you</w:t>
            </w:r>
          </w:p>
          <w:p w:rsidR="00C456F0" w:rsidRDefault="00C456F0" w:rsidP="007E56E5">
            <w:pPr>
              <w:rPr>
                <w:rFonts w:ascii="Calibri" w:hAnsi="Calibri" w:cs="Calibri"/>
                <w:sz w:val="22"/>
                <w:szCs w:val="22"/>
              </w:rPr>
            </w:pPr>
          </w:p>
        </w:tc>
        <w:tc>
          <w:tcPr>
            <w:tcW w:w="5670" w:type="dxa"/>
          </w:tcPr>
          <w:p w:rsidR="00C456F0" w:rsidRDefault="00C456F0" w:rsidP="003B4845">
            <w:pPr>
              <w:rPr>
                <w:rFonts w:ascii="Calibri" w:hAnsi="Calibri" w:cs="Calibri"/>
                <w:sz w:val="22"/>
                <w:szCs w:val="22"/>
              </w:rPr>
            </w:pPr>
            <w:r>
              <w:rPr>
                <w:rFonts w:ascii="Calibri" w:hAnsi="Calibri" w:cs="Calibri"/>
                <w:sz w:val="22"/>
                <w:szCs w:val="22"/>
              </w:rPr>
              <w:t xml:space="preserve">Training </w:t>
            </w:r>
            <w:r w:rsidR="00981C80">
              <w:rPr>
                <w:rFonts w:ascii="Calibri" w:hAnsi="Calibri" w:cs="Calibri"/>
                <w:sz w:val="22"/>
                <w:szCs w:val="22"/>
              </w:rPr>
              <w:t xml:space="preserve">was </w:t>
            </w:r>
            <w:r>
              <w:rPr>
                <w:rFonts w:ascii="Calibri" w:hAnsi="Calibri" w:cs="Calibri"/>
                <w:sz w:val="22"/>
                <w:szCs w:val="22"/>
              </w:rPr>
              <w:t xml:space="preserve">provided at TRFT, Oak House, RCHC, GP Practices, </w:t>
            </w:r>
            <w:proofErr w:type="gramStart"/>
            <w:r>
              <w:rPr>
                <w:rFonts w:ascii="Calibri" w:hAnsi="Calibri" w:cs="Calibri"/>
                <w:sz w:val="22"/>
                <w:szCs w:val="22"/>
              </w:rPr>
              <w:t>Public</w:t>
            </w:r>
            <w:proofErr w:type="gramEnd"/>
            <w:r>
              <w:rPr>
                <w:rFonts w:ascii="Calibri" w:hAnsi="Calibri" w:cs="Calibri"/>
                <w:sz w:val="22"/>
                <w:szCs w:val="22"/>
              </w:rPr>
              <w:t xml:space="preserve"> Health (RMBC) and in departments</w:t>
            </w:r>
            <w:r w:rsidR="003B4845">
              <w:rPr>
                <w:rFonts w:ascii="Calibri" w:hAnsi="Calibri" w:cs="Calibri"/>
                <w:sz w:val="22"/>
                <w:szCs w:val="22"/>
              </w:rPr>
              <w:t xml:space="preserve">.  Training has been delivered as part of the student masterclass and junior doctors training programmes. </w:t>
            </w:r>
          </w:p>
        </w:tc>
      </w:tr>
      <w:tr w:rsidR="004343C3" w:rsidTr="00036B33">
        <w:tc>
          <w:tcPr>
            <w:tcW w:w="10065" w:type="dxa"/>
            <w:gridSpan w:val="2"/>
            <w:shd w:val="clear" w:color="auto" w:fill="8DB3E2" w:themeFill="text2" w:themeFillTint="66"/>
          </w:tcPr>
          <w:p w:rsidR="004343C3" w:rsidRPr="00036B33" w:rsidRDefault="004343C3" w:rsidP="007E56E5">
            <w:pPr>
              <w:rPr>
                <w:rFonts w:ascii="Calibri" w:hAnsi="Calibri" w:cs="Calibri"/>
                <w:b/>
                <w:sz w:val="22"/>
                <w:szCs w:val="22"/>
              </w:rPr>
            </w:pPr>
            <w:r w:rsidRPr="00036B33">
              <w:rPr>
                <w:rFonts w:ascii="Calibri" w:hAnsi="Calibri" w:cs="Calibri"/>
                <w:b/>
                <w:color w:val="FFFFFF" w:themeColor="background1"/>
                <w:sz w:val="22"/>
                <w:szCs w:val="22"/>
              </w:rPr>
              <w:t>Resources</w:t>
            </w:r>
          </w:p>
        </w:tc>
      </w:tr>
      <w:tr w:rsidR="00C456F0" w:rsidTr="004343C3">
        <w:tc>
          <w:tcPr>
            <w:tcW w:w="4395" w:type="dxa"/>
          </w:tcPr>
          <w:p w:rsidR="00C456F0" w:rsidRDefault="00C456F0" w:rsidP="007E56E5">
            <w:pPr>
              <w:rPr>
                <w:rFonts w:ascii="Calibri" w:hAnsi="Calibri" w:cs="Calibri"/>
                <w:sz w:val="22"/>
                <w:szCs w:val="22"/>
              </w:rPr>
            </w:pPr>
            <w:r>
              <w:rPr>
                <w:rFonts w:ascii="Calibri" w:hAnsi="Calibri" w:cs="Calibri"/>
                <w:sz w:val="22"/>
                <w:szCs w:val="22"/>
              </w:rPr>
              <w:t xml:space="preserve">We offer an up-to-date collection of books, journals, health education resources and IT equipment available for loan.  </w:t>
            </w:r>
          </w:p>
        </w:tc>
        <w:tc>
          <w:tcPr>
            <w:tcW w:w="5670" w:type="dxa"/>
          </w:tcPr>
          <w:p w:rsidR="00C456F0" w:rsidRDefault="00494EE9" w:rsidP="003B4845">
            <w:pPr>
              <w:rPr>
                <w:rFonts w:ascii="Calibri" w:hAnsi="Calibri" w:cs="Calibri"/>
                <w:sz w:val="22"/>
                <w:szCs w:val="22"/>
              </w:rPr>
            </w:pPr>
            <w:r>
              <w:rPr>
                <w:rFonts w:ascii="Calibri" w:hAnsi="Calibri" w:cs="Calibri"/>
                <w:sz w:val="22"/>
                <w:szCs w:val="22"/>
              </w:rPr>
              <w:t xml:space="preserve">Purchased </w:t>
            </w:r>
            <w:r w:rsidR="003B4845">
              <w:rPr>
                <w:rFonts w:ascii="Calibri" w:hAnsi="Calibri" w:cs="Calibri"/>
                <w:sz w:val="22"/>
                <w:szCs w:val="22"/>
              </w:rPr>
              <w:t>440</w:t>
            </w:r>
            <w:r w:rsidR="00C456F0">
              <w:rPr>
                <w:rFonts w:ascii="Calibri" w:hAnsi="Calibri" w:cs="Calibri"/>
                <w:sz w:val="22"/>
                <w:szCs w:val="22"/>
              </w:rPr>
              <w:t xml:space="preserve"> new books, </w:t>
            </w:r>
            <w:r w:rsidR="003B4845">
              <w:rPr>
                <w:rFonts w:ascii="Calibri" w:hAnsi="Calibri" w:cs="Calibri"/>
                <w:sz w:val="22"/>
                <w:szCs w:val="22"/>
              </w:rPr>
              <w:t>38</w:t>
            </w:r>
            <w:r w:rsidR="00C456F0">
              <w:rPr>
                <w:rFonts w:ascii="Calibri" w:hAnsi="Calibri" w:cs="Calibri"/>
                <w:sz w:val="22"/>
                <w:szCs w:val="22"/>
              </w:rPr>
              <w:t xml:space="preserve"> other resources (health promotion models and DVDs</w:t>
            </w:r>
            <w:proofErr w:type="gramStart"/>
            <w:r w:rsidR="00C456F0">
              <w:rPr>
                <w:rFonts w:ascii="Calibri" w:hAnsi="Calibri" w:cs="Calibri"/>
                <w:sz w:val="22"/>
                <w:szCs w:val="22"/>
              </w:rPr>
              <w:t>,  IT</w:t>
            </w:r>
            <w:proofErr w:type="gramEnd"/>
            <w:r w:rsidR="00C456F0">
              <w:rPr>
                <w:rFonts w:ascii="Calibri" w:hAnsi="Calibri" w:cs="Calibri"/>
                <w:sz w:val="22"/>
                <w:szCs w:val="22"/>
              </w:rPr>
              <w:t xml:space="preserve"> equipment </w:t>
            </w:r>
            <w:r w:rsidR="00036B33">
              <w:rPr>
                <w:rFonts w:ascii="Calibri" w:hAnsi="Calibri" w:cs="Calibri"/>
                <w:sz w:val="22"/>
                <w:szCs w:val="22"/>
              </w:rPr>
              <w:t xml:space="preserve">for loan </w:t>
            </w:r>
            <w:proofErr w:type="spellStart"/>
            <w:r w:rsidR="00036B33">
              <w:rPr>
                <w:rFonts w:ascii="Calibri" w:hAnsi="Calibri" w:cs="Calibri"/>
                <w:sz w:val="22"/>
                <w:szCs w:val="22"/>
              </w:rPr>
              <w:t>etc</w:t>
            </w:r>
            <w:proofErr w:type="spellEnd"/>
            <w:r w:rsidR="00036B33">
              <w:rPr>
                <w:rFonts w:ascii="Calibri" w:hAnsi="Calibri" w:cs="Calibri"/>
                <w:sz w:val="22"/>
                <w:szCs w:val="22"/>
              </w:rPr>
              <w:t xml:space="preserve">), </w:t>
            </w:r>
            <w:r w:rsidR="003B4845">
              <w:rPr>
                <w:rFonts w:ascii="Calibri" w:hAnsi="Calibri" w:cs="Calibri"/>
                <w:sz w:val="22"/>
                <w:szCs w:val="22"/>
              </w:rPr>
              <w:t>96</w:t>
            </w:r>
            <w:r w:rsidR="00036B33">
              <w:rPr>
                <w:rFonts w:ascii="Calibri" w:hAnsi="Calibri" w:cs="Calibri"/>
                <w:sz w:val="22"/>
                <w:szCs w:val="22"/>
              </w:rPr>
              <w:t xml:space="preserve"> </w:t>
            </w:r>
            <w:proofErr w:type="spellStart"/>
            <w:r w:rsidR="00036B33">
              <w:rPr>
                <w:rFonts w:ascii="Calibri" w:hAnsi="Calibri" w:cs="Calibri"/>
                <w:sz w:val="22"/>
                <w:szCs w:val="22"/>
              </w:rPr>
              <w:t>ebooks</w:t>
            </w:r>
            <w:proofErr w:type="spellEnd"/>
            <w:r w:rsidR="00036B33">
              <w:rPr>
                <w:rFonts w:ascii="Calibri" w:hAnsi="Calibri" w:cs="Calibri"/>
                <w:sz w:val="22"/>
                <w:szCs w:val="22"/>
              </w:rPr>
              <w:t xml:space="preserve">, </w:t>
            </w:r>
            <w:r w:rsidR="003B4845">
              <w:rPr>
                <w:rFonts w:ascii="Calibri" w:hAnsi="Calibri" w:cs="Calibri"/>
                <w:sz w:val="22"/>
                <w:szCs w:val="22"/>
              </w:rPr>
              <w:t>51</w:t>
            </w:r>
            <w:r w:rsidR="00C456F0">
              <w:rPr>
                <w:rFonts w:ascii="Calibri" w:hAnsi="Calibri" w:cs="Calibri"/>
                <w:sz w:val="22"/>
                <w:szCs w:val="22"/>
              </w:rPr>
              <w:t xml:space="preserve"> journal subscriptions.</w:t>
            </w:r>
            <w:r w:rsidR="00036B33">
              <w:rPr>
                <w:rFonts w:ascii="Calibri" w:hAnsi="Calibri" w:cs="Calibri"/>
                <w:sz w:val="22"/>
                <w:szCs w:val="22"/>
              </w:rPr>
              <w:t xml:space="preserve"> </w:t>
            </w:r>
            <w:r w:rsidR="003B4845">
              <w:rPr>
                <w:rFonts w:ascii="Calibri" w:hAnsi="Calibri" w:cs="Calibri"/>
                <w:sz w:val="22"/>
                <w:szCs w:val="22"/>
              </w:rPr>
              <w:t>551</w:t>
            </w:r>
            <w:r w:rsidR="00036B33">
              <w:rPr>
                <w:rFonts w:ascii="Calibri" w:hAnsi="Calibri" w:cs="Calibri"/>
                <w:sz w:val="22"/>
                <w:szCs w:val="22"/>
              </w:rPr>
              <w:t xml:space="preserve"> items were withdrawn from stock.</w:t>
            </w:r>
          </w:p>
        </w:tc>
      </w:tr>
      <w:tr w:rsidR="00C456F0" w:rsidTr="004343C3">
        <w:tc>
          <w:tcPr>
            <w:tcW w:w="4395" w:type="dxa"/>
          </w:tcPr>
          <w:p w:rsidR="00C456F0" w:rsidRDefault="00C456F0" w:rsidP="007E56E5">
            <w:pPr>
              <w:rPr>
                <w:rFonts w:ascii="Calibri" w:hAnsi="Calibri" w:cs="Calibri"/>
                <w:sz w:val="22"/>
                <w:szCs w:val="22"/>
              </w:rPr>
            </w:pPr>
            <w:r>
              <w:rPr>
                <w:rFonts w:ascii="Calibri" w:hAnsi="Calibri" w:cs="Calibri"/>
                <w:sz w:val="22"/>
                <w:szCs w:val="22"/>
              </w:rPr>
              <w:t>Library inductions are available to all staff</w:t>
            </w:r>
          </w:p>
        </w:tc>
        <w:tc>
          <w:tcPr>
            <w:tcW w:w="5670" w:type="dxa"/>
          </w:tcPr>
          <w:p w:rsidR="00C456F0" w:rsidRDefault="003B4845" w:rsidP="007E56E5">
            <w:pPr>
              <w:rPr>
                <w:rFonts w:ascii="Calibri" w:hAnsi="Calibri" w:cs="Calibri"/>
                <w:sz w:val="22"/>
                <w:szCs w:val="22"/>
              </w:rPr>
            </w:pPr>
            <w:r>
              <w:rPr>
                <w:rFonts w:ascii="Calibri" w:hAnsi="Calibri" w:cs="Calibri"/>
                <w:sz w:val="22"/>
                <w:szCs w:val="22"/>
              </w:rPr>
              <w:t xml:space="preserve">591 </w:t>
            </w:r>
            <w:r w:rsidR="00C456F0">
              <w:rPr>
                <w:rFonts w:ascii="Calibri" w:hAnsi="Calibri" w:cs="Calibri"/>
                <w:sz w:val="22"/>
                <w:szCs w:val="22"/>
              </w:rPr>
              <w:t>staff &amp; students received a LKS induction</w:t>
            </w:r>
          </w:p>
        </w:tc>
      </w:tr>
      <w:tr w:rsidR="00036B33" w:rsidTr="00036B33">
        <w:tc>
          <w:tcPr>
            <w:tcW w:w="10065" w:type="dxa"/>
            <w:gridSpan w:val="2"/>
            <w:shd w:val="clear" w:color="auto" w:fill="8DB3E2" w:themeFill="text2" w:themeFillTint="66"/>
          </w:tcPr>
          <w:p w:rsidR="00036B33" w:rsidRPr="00036B33" w:rsidRDefault="00036B33" w:rsidP="007E56E5">
            <w:pPr>
              <w:rPr>
                <w:rFonts w:ascii="Calibri" w:hAnsi="Calibri" w:cs="Calibri"/>
                <w:b/>
                <w:sz w:val="22"/>
                <w:szCs w:val="22"/>
              </w:rPr>
            </w:pPr>
            <w:r w:rsidRPr="00036B33">
              <w:rPr>
                <w:rFonts w:ascii="Calibri" w:hAnsi="Calibri" w:cs="Calibri"/>
                <w:b/>
                <w:color w:val="FFFFFF" w:themeColor="background1"/>
                <w:sz w:val="22"/>
                <w:szCs w:val="22"/>
              </w:rPr>
              <w:t>Interlibrary loans</w:t>
            </w:r>
          </w:p>
        </w:tc>
      </w:tr>
      <w:tr w:rsidR="00C456F0" w:rsidTr="004343C3">
        <w:tc>
          <w:tcPr>
            <w:tcW w:w="4395" w:type="dxa"/>
          </w:tcPr>
          <w:p w:rsidR="00C456F0" w:rsidRDefault="00C456F0" w:rsidP="007E56E5">
            <w:pPr>
              <w:rPr>
                <w:rFonts w:ascii="Calibri" w:hAnsi="Calibri" w:cs="Calibri"/>
                <w:sz w:val="22"/>
                <w:szCs w:val="22"/>
              </w:rPr>
            </w:pPr>
            <w:r>
              <w:rPr>
                <w:rFonts w:ascii="Calibri" w:hAnsi="Calibri" w:cs="Calibri"/>
                <w:sz w:val="22"/>
                <w:szCs w:val="22"/>
              </w:rPr>
              <w:t>Percentage of ILLs delivered within 7-10</w:t>
            </w:r>
            <w:r w:rsidR="004343C3">
              <w:rPr>
                <w:rFonts w:ascii="Calibri" w:hAnsi="Calibri" w:cs="Calibri"/>
                <w:sz w:val="22"/>
                <w:szCs w:val="22"/>
              </w:rPr>
              <w:t xml:space="preserve"> </w:t>
            </w:r>
            <w:r>
              <w:rPr>
                <w:rFonts w:ascii="Calibri" w:hAnsi="Calibri" w:cs="Calibri"/>
                <w:sz w:val="22"/>
                <w:szCs w:val="22"/>
              </w:rPr>
              <w:t>days</w:t>
            </w:r>
          </w:p>
        </w:tc>
        <w:tc>
          <w:tcPr>
            <w:tcW w:w="5670" w:type="dxa"/>
          </w:tcPr>
          <w:p w:rsidR="00C456F0" w:rsidRPr="00971873" w:rsidRDefault="00971873" w:rsidP="007E56E5">
            <w:pPr>
              <w:rPr>
                <w:rFonts w:ascii="Calibri" w:hAnsi="Calibri" w:cs="Calibri"/>
                <w:sz w:val="22"/>
                <w:szCs w:val="22"/>
              </w:rPr>
            </w:pPr>
            <w:r w:rsidRPr="00971873">
              <w:rPr>
                <w:rFonts w:ascii="Calibri" w:hAnsi="Calibri" w:cs="Calibri"/>
                <w:sz w:val="22"/>
                <w:szCs w:val="22"/>
              </w:rPr>
              <w:t>98.6</w:t>
            </w:r>
            <w:r w:rsidR="00C456F0" w:rsidRPr="00971873">
              <w:rPr>
                <w:rFonts w:ascii="Calibri" w:hAnsi="Calibri" w:cs="Calibri"/>
                <w:sz w:val="22"/>
                <w:szCs w:val="22"/>
              </w:rPr>
              <w:t>% delivered within 10 days.</w:t>
            </w:r>
          </w:p>
          <w:p w:rsidR="00C456F0" w:rsidRDefault="00C456F0" w:rsidP="00971873">
            <w:pPr>
              <w:rPr>
                <w:rFonts w:ascii="Calibri" w:hAnsi="Calibri" w:cs="Calibri"/>
                <w:sz w:val="22"/>
                <w:szCs w:val="22"/>
              </w:rPr>
            </w:pPr>
            <w:r w:rsidRPr="00971873">
              <w:rPr>
                <w:rFonts w:ascii="Calibri" w:hAnsi="Calibri" w:cs="Calibri"/>
                <w:sz w:val="22"/>
                <w:szCs w:val="22"/>
              </w:rPr>
              <w:t xml:space="preserve">Total requests delivered </w:t>
            </w:r>
            <w:r w:rsidR="00036B33" w:rsidRPr="00971873">
              <w:rPr>
                <w:rFonts w:ascii="Calibri" w:hAnsi="Calibri" w:cs="Calibri"/>
                <w:sz w:val="22"/>
                <w:szCs w:val="22"/>
              </w:rPr>
              <w:t xml:space="preserve">= </w:t>
            </w:r>
            <w:r w:rsidR="00971873" w:rsidRPr="00971873">
              <w:rPr>
                <w:rFonts w:ascii="Calibri" w:hAnsi="Calibri" w:cs="Calibri"/>
                <w:sz w:val="22"/>
                <w:szCs w:val="22"/>
              </w:rPr>
              <w:t>95.1</w:t>
            </w:r>
            <w:r w:rsidRPr="00971873">
              <w:rPr>
                <w:rFonts w:ascii="Calibri" w:hAnsi="Calibri" w:cs="Calibri"/>
                <w:sz w:val="22"/>
                <w:szCs w:val="22"/>
              </w:rPr>
              <w:t>% (</w:t>
            </w:r>
            <w:r w:rsidR="00971873" w:rsidRPr="00971873">
              <w:rPr>
                <w:rFonts w:ascii="Calibri" w:hAnsi="Calibri" w:cs="Calibri"/>
                <w:sz w:val="22"/>
                <w:szCs w:val="22"/>
              </w:rPr>
              <w:t>49</w:t>
            </w:r>
            <w:r w:rsidRPr="00971873">
              <w:rPr>
                <w:rFonts w:ascii="Calibri" w:hAnsi="Calibri" w:cs="Calibri"/>
                <w:sz w:val="22"/>
                <w:szCs w:val="22"/>
              </w:rPr>
              <w:t xml:space="preserve"> out of </w:t>
            </w:r>
            <w:r w:rsidR="00971873" w:rsidRPr="00971873">
              <w:rPr>
                <w:rFonts w:ascii="Calibri" w:hAnsi="Calibri" w:cs="Calibri"/>
                <w:sz w:val="22"/>
                <w:szCs w:val="22"/>
              </w:rPr>
              <w:t>1003</w:t>
            </w:r>
            <w:r w:rsidRPr="00971873">
              <w:rPr>
                <w:rFonts w:ascii="Calibri" w:hAnsi="Calibri" w:cs="Calibri"/>
                <w:sz w:val="22"/>
                <w:szCs w:val="22"/>
              </w:rPr>
              <w:t xml:space="preserve"> requests made  </w:t>
            </w:r>
            <w:r w:rsidR="00036B33" w:rsidRPr="00971873">
              <w:rPr>
                <w:rFonts w:ascii="Calibri" w:hAnsi="Calibri" w:cs="Calibri"/>
                <w:sz w:val="22"/>
                <w:szCs w:val="22"/>
              </w:rPr>
              <w:t xml:space="preserve">were </w:t>
            </w:r>
            <w:r w:rsidRPr="00971873">
              <w:rPr>
                <w:rFonts w:ascii="Calibri" w:hAnsi="Calibri" w:cs="Calibri"/>
                <w:sz w:val="22"/>
                <w:szCs w:val="22"/>
              </w:rPr>
              <w:t>not delivered)</w:t>
            </w:r>
            <w:bookmarkStart w:id="0" w:name="_GoBack"/>
            <w:bookmarkEnd w:id="0"/>
          </w:p>
        </w:tc>
      </w:tr>
      <w:tr w:rsidR="004343C3" w:rsidTr="00036B33">
        <w:tc>
          <w:tcPr>
            <w:tcW w:w="10065" w:type="dxa"/>
            <w:gridSpan w:val="2"/>
            <w:shd w:val="clear" w:color="auto" w:fill="8DB3E2" w:themeFill="text2" w:themeFillTint="66"/>
          </w:tcPr>
          <w:p w:rsidR="004343C3" w:rsidRPr="00036B33" w:rsidRDefault="004343C3" w:rsidP="007E56E5">
            <w:pPr>
              <w:rPr>
                <w:rFonts w:ascii="Calibri" w:hAnsi="Calibri" w:cs="Calibri"/>
                <w:b/>
                <w:sz w:val="22"/>
                <w:szCs w:val="22"/>
              </w:rPr>
            </w:pPr>
            <w:r w:rsidRPr="00036B33">
              <w:rPr>
                <w:rFonts w:ascii="Calibri" w:hAnsi="Calibri" w:cs="Calibri"/>
                <w:b/>
                <w:color w:val="FFFFFF" w:themeColor="background1"/>
                <w:sz w:val="22"/>
                <w:szCs w:val="22"/>
              </w:rPr>
              <w:t>Current awareness</w:t>
            </w:r>
          </w:p>
        </w:tc>
      </w:tr>
      <w:tr w:rsidR="00C456F0" w:rsidTr="004343C3">
        <w:tc>
          <w:tcPr>
            <w:tcW w:w="4395" w:type="dxa"/>
          </w:tcPr>
          <w:p w:rsidR="00C456F0" w:rsidRDefault="00C456F0" w:rsidP="007E56E5">
            <w:pPr>
              <w:rPr>
                <w:rFonts w:ascii="Calibri" w:hAnsi="Calibri" w:cs="Calibri"/>
                <w:sz w:val="22"/>
                <w:szCs w:val="22"/>
              </w:rPr>
            </w:pPr>
            <w:r>
              <w:rPr>
                <w:rFonts w:ascii="Calibri" w:hAnsi="Calibri" w:cs="Calibri"/>
                <w:sz w:val="22"/>
                <w:szCs w:val="22"/>
              </w:rPr>
              <w:t>We provide a comprehensive service to encourage all our customers to keep up-to-date with the latest developments in health.  We provide a range of bulletins, blogs and alerts.</w:t>
            </w:r>
          </w:p>
          <w:p w:rsidR="00C456F0" w:rsidRDefault="00C456F0" w:rsidP="007E56E5">
            <w:pPr>
              <w:rPr>
                <w:rFonts w:ascii="Calibri" w:hAnsi="Calibri" w:cs="Calibri"/>
                <w:sz w:val="22"/>
                <w:szCs w:val="22"/>
              </w:rPr>
            </w:pPr>
          </w:p>
        </w:tc>
        <w:tc>
          <w:tcPr>
            <w:tcW w:w="5670" w:type="dxa"/>
          </w:tcPr>
          <w:p w:rsidR="00C456F0" w:rsidRDefault="00C456F0" w:rsidP="003B4845">
            <w:pPr>
              <w:rPr>
                <w:rFonts w:ascii="Calibri" w:hAnsi="Calibri" w:cs="Calibri"/>
                <w:sz w:val="22"/>
                <w:szCs w:val="22"/>
              </w:rPr>
            </w:pPr>
            <w:r>
              <w:rPr>
                <w:rFonts w:ascii="Calibri" w:hAnsi="Calibri" w:cs="Calibri"/>
                <w:sz w:val="22"/>
                <w:szCs w:val="22"/>
              </w:rPr>
              <w:t xml:space="preserve">Launched </w:t>
            </w:r>
            <w:r w:rsidR="003B4845">
              <w:rPr>
                <w:rFonts w:ascii="Calibri" w:hAnsi="Calibri" w:cs="Calibri"/>
                <w:sz w:val="22"/>
                <w:szCs w:val="22"/>
              </w:rPr>
              <w:t>4</w:t>
            </w:r>
            <w:r>
              <w:rPr>
                <w:rFonts w:ascii="Calibri" w:hAnsi="Calibri" w:cs="Calibri"/>
                <w:sz w:val="22"/>
                <w:szCs w:val="22"/>
              </w:rPr>
              <w:t xml:space="preserve"> new bulletins/blogs. Delivered bulletins/blogs on </w:t>
            </w:r>
            <w:r w:rsidR="003B4845">
              <w:rPr>
                <w:rFonts w:ascii="Calibri" w:hAnsi="Calibri" w:cs="Calibri"/>
                <w:sz w:val="22"/>
                <w:szCs w:val="22"/>
              </w:rPr>
              <w:t>20</w:t>
            </w:r>
            <w:r>
              <w:rPr>
                <w:rFonts w:ascii="Calibri" w:hAnsi="Calibri" w:cs="Calibri"/>
                <w:sz w:val="22"/>
                <w:szCs w:val="22"/>
              </w:rPr>
              <w:t xml:space="preserve"> topics/specialti</w:t>
            </w:r>
            <w:r w:rsidR="00036B33">
              <w:rPr>
                <w:rFonts w:ascii="Calibri" w:hAnsi="Calibri" w:cs="Calibri"/>
                <w:sz w:val="22"/>
                <w:szCs w:val="22"/>
              </w:rPr>
              <w:t xml:space="preserve">es with a total of </w:t>
            </w:r>
            <w:r w:rsidR="003B4845">
              <w:rPr>
                <w:rFonts w:ascii="Calibri" w:hAnsi="Calibri" w:cs="Calibri"/>
                <w:sz w:val="22"/>
                <w:szCs w:val="22"/>
              </w:rPr>
              <w:t>242</w:t>
            </w:r>
            <w:r w:rsidR="00036B33">
              <w:rPr>
                <w:rFonts w:ascii="Calibri" w:hAnsi="Calibri" w:cs="Calibri"/>
                <w:sz w:val="22"/>
                <w:szCs w:val="22"/>
              </w:rPr>
              <w:t xml:space="preserve"> editions</w:t>
            </w:r>
            <w:r w:rsidR="003B4845">
              <w:rPr>
                <w:rFonts w:ascii="Calibri" w:hAnsi="Calibri" w:cs="Calibri"/>
                <w:sz w:val="22"/>
                <w:szCs w:val="22"/>
              </w:rPr>
              <w:t>.</w:t>
            </w:r>
          </w:p>
        </w:tc>
      </w:tr>
      <w:tr w:rsidR="004343C3" w:rsidTr="00036B33">
        <w:tc>
          <w:tcPr>
            <w:tcW w:w="10065" w:type="dxa"/>
            <w:gridSpan w:val="2"/>
            <w:shd w:val="clear" w:color="auto" w:fill="8DB3E2" w:themeFill="text2" w:themeFillTint="66"/>
          </w:tcPr>
          <w:p w:rsidR="004343C3" w:rsidRPr="00036B33" w:rsidRDefault="004343C3" w:rsidP="007E56E5">
            <w:pPr>
              <w:rPr>
                <w:rFonts w:ascii="Calibri" w:hAnsi="Calibri" w:cs="Calibri"/>
                <w:b/>
                <w:sz w:val="22"/>
                <w:szCs w:val="22"/>
              </w:rPr>
            </w:pPr>
            <w:r w:rsidRPr="00036B33">
              <w:rPr>
                <w:rFonts w:ascii="Calibri" w:hAnsi="Calibri" w:cs="Calibri"/>
                <w:b/>
                <w:color w:val="FFFFFF" w:themeColor="background1"/>
                <w:sz w:val="22"/>
                <w:szCs w:val="22"/>
              </w:rPr>
              <w:t>Information consultancy</w:t>
            </w:r>
          </w:p>
        </w:tc>
      </w:tr>
      <w:tr w:rsidR="00C456F0" w:rsidTr="004343C3">
        <w:tc>
          <w:tcPr>
            <w:tcW w:w="4395" w:type="dxa"/>
          </w:tcPr>
          <w:p w:rsidR="00C456F0" w:rsidRDefault="00C456F0" w:rsidP="00C456F0">
            <w:pPr>
              <w:rPr>
                <w:rFonts w:ascii="Calibri" w:hAnsi="Calibri" w:cs="Calibri"/>
                <w:sz w:val="22"/>
                <w:szCs w:val="22"/>
              </w:rPr>
            </w:pPr>
            <w:r>
              <w:rPr>
                <w:rFonts w:ascii="Calibri" w:hAnsi="Calibri" w:cs="Calibri"/>
                <w:sz w:val="22"/>
                <w:szCs w:val="22"/>
              </w:rPr>
              <w:t>We are available to contribute our specialist information skills to any project or working group</w:t>
            </w:r>
            <w:r w:rsidR="00036B33">
              <w:rPr>
                <w:rFonts w:ascii="Calibri" w:hAnsi="Calibri" w:cs="Calibri"/>
                <w:sz w:val="22"/>
                <w:szCs w:val="22"/>
              </w:rPr>
              <w:t>.</w:t>
            </w:r>
          </w:p>
          <w:p w:rsidR="00C456F0" w:rsidRDefault="00C456F0" w:rsidP="007E56E5">
            <w:pPr>
              <w:rPr>
                <w:rFonts w:ascii="Calibri" w:hAnsi="Calibri" w:cs="Calibri"/>
                <w:sz w:val="22"/>
                <w:szCs w:val="22"/>
              </w:rPr>
            </w:pPr>
          </w:p>
        </w:tc>
        <w:tc>
          <w:tcPr>
            <w:tcW w:w="5670" w:type="dxa"/>
          </w:tcPr>
          <w:p w:rsidR="00C456F0" w:rsidRDefault="00C456F0" w:rsidP="003B4845">
            <w:pPr>
              <w:rPr>
                <w:rFonts w:ascii="Calibri" w:hAnsi="Calibri" w:cs="Calibri"/>
                <w:sz w:val="22"/>
                <w:szCs w:val="22"/>
              </w:rPr>
            </w:pPr>
            <w:r>
              <w:rPr>
                <w:rFonts w:ascii="Calibri" w:hAnsi="Calibri" w:cs="Calibri"/>
                <w:sz w:val="22"/>
                <w:szCs w:val="22"/>
              </w:rPr>
              <w:t>Information consultancy in 201</w:t>
            </w:r>
            <w:r w:rsidR="003B4845">
              <w:rPr>
                <w:rFonts w:ascii="Calibri" w:hAnsi="Calibri" w:cs="Calibri"/>
                <w:sz w:val="22"/>
                <w:szCs w:val="22"/>
              </w:rPr>
              <w:t>6/17</w:t>
            </w:r>
            <w:r>
              <w:rPr>
                <w:rFonts w:ascii="Calibri" w:hAnsi="Calibri" w:cs="Calibri"/>
                <w:sz w:val="22"/>
                <w:szCs w:val="22"/>
              </w:rPr>
              <w:t xml:space="preserve"> included membership of the </w:t>
            </w:r>
            <w:r w:rsidR="003B4845">
              <w:rPr>
                <w:rFonts w:ascii="Calibri" w:hAnsi="Calibri" w:cs="Calibri"/>
                <w:sz w:val="22"/>
                <w:szCs w:val="22"/>
              </w:rPr>
              <w:t>Together We Can</w:t>
            </w:r>
            <w:r>
              <w:rPr>
                <w:rFonts w:ascii="Calibri" w:hAnsi="Calibri" w:cs="Calibri"/>
                <w:sz w:val="22"/>
                <w:szCs w:val="22"/>
              </w:rPr>
              <w:t xml:space="preserve"> team, </w:t>
            </w:r>
            <w:r w:rsidR="003B4845">
              <w:rPr>
                <w:rFonts w:ascii="Calibri" w:hAnsi="Calibri" w:cs="Calibri"/>
                <w:sz w:val="22"/>
                <w:szCs w:val="22"/>
              </w:rPr>
              <w:t xml:space="preserve">continued </w:t>
            </w:r>
            <w:r>
              <w:rPr>
                <w:rFonts w:ascii="Calibri" w:hAnsi="Calibri" w:cs="Calibri"/>
                <w:sz w:val="22"/>
                <w:szCs w:val="22"/>
              </w:rPr>
              <w:t>suppor</w:t>
            </w:r>
            <w:r w:rsidR="00E135E8">
              <w:rPr>
                <w:rFonts w:ascii="Calibri" w:hAnsi="Calibri" w:cs="Calibri"/>
                <w:sz w:val="22"/>
                <w:szCs w:val="22"/>
              </w:rPr>
              <w:t>t for the development of Ignaz H</w:t>
            </w:r>
            <w:r w:rsidR="00876AB8">
              <w:rPr>
                <w:rFonts w:ascii="Calibri" w:hAnsi="Calibri" w:cs="Calibri"/>
                <w:sz w:val="22"/>
                <w:szCs w:val="22"/>
              </w:rPr>
              <w:t xml:space="preserve">andbook, membership of policies  &amp; guidelines working group, </w:t>
            </w:r>
            <w:r w:rsidR="00E135E8">
              <w:rPr>
                <w:rFonts w:ascii="Calibri" w:hAnsi="Calibri" w:cs="Calibri"/>
                <w:sz w:val="22"/>
                <w:szCs w:val="22"/>
              </w:rPr>
              <w:t xml:space="preserve">co-ordination of the Mindfulness Interest Group </w:t>
            </w:r>
            <w:r>
              <w:rPr>
                <w:rFonts w:ascii="Calibri" w:hAnsi="Calibri" w:cs="Calibri"/>
                <w:sz w:val="22"/>
                <w:szCs w:val="22"/>
              </w:rPr>
              <w:t>and membership of the South Yorkshire Research Ethics Committee.</w:t>
            </w:r>
          </w:p>
        </w:tc>
      </w:tr>
      <w:tr w:rsidR="004343C3" w:rsidTr="00036B33">
        <w:tc>
          <w:tcPr>
            <w:tcW w:w="10065" w:type="dxa"/>
            <w:gridSpan w:val="2"/>
            <w:shd w:val="clear" w:color="auto" w:fill="8DB3E2" w:themeFill="text2" w:themeFillTint="66"/>
          </w:tcPr>
          <w:p w:rsidR="004343C3" w:rsidRPr="00036B33" w:rsidRDefault="004343C3" w:rsidP="007E56E5">
            <w:pPr>
              <w:rPr>
                <w:rFonts w:ascii="Calibri" w:hAnsi="Calibri" w:cs="Calibri"/>
                <w:b/>
                <w:sz w:val="22"/>
                <w:szCs w:val="22"/>
              </w:rPr>
            </w:pPr>
            <w:r w:rsidRPr="00036B33">
              <w:rPr>
                <w:rFonts w:ascii="Calibri" w:hAnsi="Calibri" w:cs="Calibri"/>
                <w:b/>
                <w:color w:val="FFFFFF" w:themeColor="background1"/>
                <w:sz w:val="22"/>
                <w:szCs w:val="22"/>
              </w:rPr>
              <w:t>IT facilities</w:t>
            </w:r>
          </w:p>
        </w:tc>
      </w:tr>
      <w:tr w:rsidR="00C456F0" w:rsidTr="004343C3">
        <w:tc>
          <w:tcPr>
            <w:tcW w:w="4395" w:type="dxa"/>
          </w:tcPr>
          <w:p w:rsidR="00C456F0" w:rsidRDefault="00C456F0" w:rsidP="007E56E5">
            <w:pPr>
              <w:rPr>
                <w:rFonts w:ascii="Calibri" w:hAnsi="Calibri" w:cs="Calibri"/>
                <w:sz w:val="22"/>
                <w:szCs w:val="22"/>
              </w:rPr>
            </w:pPr>
            <w:r>
              <w:rPr>
                <w:rFonts w:ascii="Calibri" w:hAnsi="Calibri" w:cs="Calibri"/>
                <w:sz w:val="22"/>
                <w:szCs w:val="22"/>
              </w:rPr>
              <w:t>We provide PCs, photocopier and scanner free of charg</w:t>
            </w:r>
            <w:r w:rsidR="006C25E8">
              <w:rPr>
                <w:rFonts w:ascii="Calibri" w:hAnsi="Calibri" w:cs="Calibri"/>
                <w:sz w:val="22"/>
                <w:szCs w:val="22"/>
              </w:rPr>
              <w:t>e.  We have a silent study room</w:t>
            </w:r>
            <w:r w:rsidR="00036B33">
              <w:rPr>
                <w:rFonts w:ascii="Calibri" w:hAnsi="Calibri" w:cs="Calibri"/>
                <w:sz w:val="22"/>
                <w:szCs w:val="22"/>
              </w:rPr>
              <w:t>.</w:t>
            </w:r>
          </w:p>
        </w:tc>
        <w:tc>
          <w:tcPr>
            <w:tcW w:w="5670" w:type="dxa"/>
          </w:tcPr>
          <w:p w:rsidR="00C456F0" w:rsidRDefault="00C456F0" w:rsidP="00876AB8">
            <w:pPr>
              <w:rPr>
                <w:rFonts w:ascii="Calibri" w:hAnsi="Calibri" w:cs="Calibri"/>
                <w:sz w:val="22"/>
                <w:szCs w:val="22"/>
              </w:rPr>
            </w:pPr>
            <w:r>
              <w:rPr>
                <w:rFonts w:ascii="Calibri" w:hAnsi="Calibri" w:cs="Calibri"/>
                <w:sz w:val="22"/>
                <w:szCs w:val="22"/>
              </w:rPr>
              <w:t xml:space="preserve">We continued to provide these facilities in </w:t>
            </w:r>
            <w:r w:rsidR="00876AB8">
              <w:rPr>
                <w:rFonts w:ascii="Calibri" w:hAnsi="Calibri" w:cs="Calibri"/>
                <w:sz w:val="22"/>
                <w:szCs w:val="22"/>
              </w:rPr>
              <w:t>2016/17</w:t>
            </w:r>
            <w:r>
              <w:rPr>
                <w:rFonts w:ascii="Calibri" w:hAnsi="Calibri" w:cs="Calibri"/>
                <w:sz w:val="22"/>
                <w:szCs w:val="22"/>
              </w:rPr>
              <w:t>.</w:t>
            </w:r>
          </w:p>
        </w:tc>
      </w:tr>
    </w:tbl>
    <w:p w:rsidR="004E5D3C" w:rsidRDefault="004E5D3C" w:rsidP="007019E1"/>
    <w:sectPr w:rsidR="004E5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E5A3C"/>
    <w:multiLevelType w:val="hybridMultilevel"/>
    <w:tmpl w:val="14B84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9F2AE8"/>
    <w:multiLevelType w:val="hybridMultilevel"/>
    <w:tmpl w:val="F4B8CB98"/>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3B7A7417"/>
    <w:multiLevelType w:val="hybridMultilevel"/>
    <w:tmpl w:val="64B87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E5"/>
    <w:rsid w:val="00036B33"/>
    <w:rsid w:val="000854E7"/>
    <w:rsid w:val="00103E50"/>
    <w:rsid w:val="0018351E"/>
    <w:rsid w:val="002D696F"/>
    <w:rsid w:val="003325AD"/>
    <w:rsid w:val="003B4845"/>
    <w:rsid w:val="003F6704"/>
    <w:rsid w:val="004343C3"/>
    <w:rsid w:val="00494EE9"/>
    <w:rsid w:val="004E5D3C"/>
    <w:rsid w:val="005A3AF1"/>
    <w:rsid w:val="006C25E8"/>
    <w:rsid w:val="007019E1"/>
    <w:rsid w:val="007E56E5"/>
    <w:rsid w:val="00876AB8"/>
    <w:rsid w:val="009107FB"/>
    <w:rsid w:val="00971873"/>
    <w:rsid w:val="00981C80"/>
    <w:rsid w:val="009B580C"/>
    <w:rsid w:val="00A20B26"/>
    <w:rsid w:val="00BC4DEB"/>
    <w:rsid w:val="00C456F0"/>
    <w:rsid w:val="00D329C8"/>
    <w:rsid w:val="00E135E8"/>
    <w:rsid w:val="00E50789"/>
    <w:rsid w:val="00F9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2016-07-26T13:44:00Z</cp:lastPrinted>
  <dcterms:created xsi:type="dcterms:W3CDTF">2017-07-05T10:10:00Z</dcterms:created>
  <dcterms:modified xsi:type="dcterms:W3CDTF">2017-08-02T08:59:00Z</dcterms:modified>
</cp:coreProperties>
</file>