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29B" w:rsidRDefault="008A42F4" w:rsidP="007F331F">
      <w:pPr>
        <w:rPr>
          <w:color w:val="943634" w:themeColor="accent2" w:themeShade="BF"/>
          <w:sz w:val="32"/>
          <w:szCs w:val="32"/>
        </w:rPr>
      </w:pPr>
      <w:r w:rsidRPr="00DE4846">
        <w:rPr>
          <w:b/>
          <w:noProof/>
          <w:color w:val="943634" w:themeColor="accent2" w:themeShade="BF"/>
          <w:sz w:val="40"/>
          <w:szCs w:val="32"/>
          <w:lang w:eastAsia="en-GB"/>
        </w:rPr>
        <mc:AlternateContent>
          <mc:Choice Requires="wps">
            <w:drawing>
              <wp:anchor distT="0" distB="0" distL="114300" distR="114300" simplePos="0" relativeHeight="251663360" behindDoc="0" locked="0" layoutInCell="1" allowOverlap="1" wp14:anchorId="20FB9D99" wp14:editId="6FD9C9AD">
                <wp:simplePos x="0" y="0"/>
                <wp:positionH relativeFrom="column">
                  <wp:posOffset>-17780</wp:posOffset>
                </wp:positionH>
                <wp:positionV relativeFrom="paragraph">
                  <wp:posOffset>40005</wp:posOffset>
                </wp:positionV>
                <wp:extent cx="6410325" cy="1328420"/>
                <wp:effectExtent l="0" t="0" r="0" b="5080"/>
                <wp:wrapNone/>
                <wp:docPr id="7" name="Text Box 7"/>
                <wp:cNvGraphicFramePr/>
                <a:graphic xmlns:a="http://schemas.openxmlformats.org/drawingml/2006/main">
                  <a:graphicData uri="http://schemas.microsoft.com/office/word/2010/wordprocessingShape">
                    <wps:wsp>
                      <wps:cNvSpPr txBox="1"/>
                      <wps:spPr>
                        <a:xfrm>
                          <a:off x="0" y="0"/>
                          <a:ext cx="6410325" cy="13284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85D87" w:rsidRPr="003A63FA" w:rsidRDefault="00685D87" w:rsidP="00DE4846">
                            <w:pPr>
                              <w:rPr>
                                <w:color w:val="FFFFFF" w:themeColor="background1"/>
                                <w:sz w:val="2"/>
                              </w:rPr>
                            </w:pPr>
                          </w:p>
                          <w:p w:rsidR="00685D87" w:rsidRPr="00DE4846" w:rsidRDefault="00685D87" w:rsidP="00836C56">
                            <w:pPr>
                              <w:jc w:val="right"/>
                              <w:rPr>
                                <w:color w:val="FFFFFF" w:themeColor="background1"/>
                                <w:sz w:val="40"/>
                                <w:szCs w:val="40"/>
                              </w:rPr>
                            </w:pPr>
                            <w:r>
                              <w:rPr>
                                <w:color w:val="FFFFFF" w:themeColor="background1"/>
                                <w:sz w:val="40"/>
                                <w:szCs w:val="40"/>
                              </w:rPr>
                              <w:t>COVID-19 weekly update</w:t>
                            </w:r>
                          </w:p>
                          <w:p w:rsidR="00685D87" w:rsidRPr="00DE4846" w:rsidRDefault="00C541F9" w:rsidP="00836C56">
                            <w:pPr>
                              <w:jc w:val="right"/>
                              <w:rPr>
                                <w:color w:val="FFFFFF" w:themeColor="background1"/>
                                <w:sz w:val="32"/>
                                <w:szCs w:val="36"/>
                              </w:rPr>
                            </w:pPr>
                            <w:r>
                              <w:rPr>
                                <w:color w:val="FFFFFF" w:themeColor="background1"/>
                                <w:sz w:val="32"/>
                                <w:szCs w:val="36"/>
                              </w:rPr>
                              <w:t>7</w:t>
                            </w:r>
                            <w:r w:rsidRPr="00C541F9">
                              <w:rPr>
                                <w:color w:val="FFFFFF" w:themeColor="background1"/>
                                <w:sz w:val="32"/>
                                <w:szCs w:val="36"/>
                                <w:vertAlign w:val="superscript"/>
                              </w:rPr>
                              <w:t>th</w:t>
                            </w:r>
                            <w:r>
                              <w:rPr>
                                <w:color w:val="FFFFFF" w:themeColor="background1"/>
                                <w:sz w:val="32"/>
                                <w:szCs w:val="36"/>
                              </w:rPr>
                              <w:t xml:space="preserve">  March</w:t>
                            </w:r>
                            <w:r w:rsidR="00685D87">
                              <w:rPr>
                                <w:color w:val="FFFFFF" w:themeColor="background1"/>
                                <w:sz w:val="32"/>
                                <w:szCs w:val="36"/>
                              </w:rPr>
                              <w:t xml:space="preserve"> 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FB9D99" id="_x0000_t202" coordsize="21600,21600" o:spt="202" path="m,l,21600r21600,l21600,xe">
                <v:stroke joinstyle="miter"/>
                <v:path gradientshapeok="t" o:connecttype="rect"/>
              </v:shapetype>
              <v:shape id="Text Box 7" o:spid="_x0000_s1026" type="#_x0000_t202" style="position:absolute;margin-left:-1.4pt;margin-top:3.15pt;width:504.75pt;height:104.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" filled="f" stroked="f" strokeweight=".5pt">
                <v:textbox>
                  <w:txbxContent>
                    <w:p w:rsidR="00685D87" w:rsidRPr="003A63FA" w:rsidRDefault="00685D87" w:rsidP="00DE4846">
                      <w:pPr>
                        <w:rPr>
                          <w:color w:val="FFFFFF" w:themeColor="background1"/>
                          <w:sz w:val="2"/>
                        </w:rPr>
                      </w:pPr>
                    </w:p>
                    <w:p w:rsidR="00685D87" w:rsidRPr="00DE4846" w:rsidRDefault="00685D87" w:rsidP="00836C56">
                      <w:pPr>
                        <w:jc w:val="right"/>
                        <w:rPr>
                          <w:color w:val="FFFFFF" w:themeColor="background1"/>
                          <w:sz w:val="40"/>
                          <w:szCs w:val="40"/>
                        </w:rPr>
                      </w:pPr>
                      <w:r>
                        <w:rPr>
                          <w:color w:val="FFFFFF" w:themeColor="background1"/>
                          <w:sz w:val="40"/>
                          <w:szCs w:val="40"/>
                        </w:rPr>
                        <w:t>COVID-19 weekly update</w:t>
                      </w:r>
                    </w:p>
                    <w:p w:rsidR="00685D87" w:rsidRPr="00DE4846" w:rsidRDefault="00C541F9" w:rsidP="00836C56">
                      <w:pPr>
                        <w:jc w:val="right"/>
                        <w:rPr>
                          <w:color w:val="FFFFFF" w:themeColor="background1"/>
                          <w:sz w:val="32"/>
                          <w:szCs w:val="36"/>
                        </w:rPr>
                      </w:pPr>
                      <w:r>
                        <w:rPr>
                          <w:color w:val="FFFFFF" w:themeColor="background1"/>
                          <w:sz w:val="32"/>
                          <w:szCs w:val="36"/>
                        </w:rPr>
                        <w:t>7</w:t>
                      </w:r>
                      <w:r w:rsidRPr="00C541F9">
                        <w:rPr>
                          <w:color w:val="FFFFFF" w:themeColor="background1"/>
                          <w:sz w:val="32"/>
                          <w:szCs w:val="36"/>
                          <w:vertAlign w:val="superscript"/>
                        </w:rPr>
                        <w:t>th</w:t>
                      </w:r>
                      <w:r>
                        <w:rPr>
                          <w:color w:val="FFFFFF" w:themeColor="background1"/>
                          <w:sz w:val="32"/>
                          <w:szCs w:val="36"/>
                        </w:rPr>
                        <w:t xml:space="preserve">  March</w:t>
                      </w:r>
                      <w:r w:rsidR="00685D87">
                        <w:rPr>
                          <w:color w:val="FFFFFF" w:themeColor="background1"/>
                          <w:sz w:val="32"/>
                          <w:szCs w:val="36"/>
                        </w:rPr>
                        <w:t xml:space="preserve"> 2022</w:t>
                      </w:r>
                    </w:p>
                  </w:txbxContent>
                </v:textbox>
              </v:shape>
            </w:pict>
          </mc:Fallback>
        </mc:AlternateContent>
      </w:r>
      <w:r w:rsidRPr="00DE4846">
        <w:rPr>
          <w:b/>
          <w:noProof/>
          <w:color w:val="943634" w:themeColor="accent2" w:themeShade="BF"/>
          <w:sz w:val="40"/>
          <w:szCs w:val="32"/>
          <w:lang w:eastAsia="en-GB"/>
        </w:rPr>
        <mc:AlternateContent>
          <mc:Choice Requires="wps">
            <w:drawing>
              <wp:anchor distT="0" distB="0" distL="114300" distR="114300" simplePos="0" relativeHeight="251662336" behindDoc="0" locked="0" layoutInCell="1" allowOverlap="1" wp14:anchorId="3BF25E76" wp14:editId="5C1EB466">
                <wp:simplePos x="0" y="0"/>
                <wp:positionH relativeFrom="column">
                  <wp:posOffset>-1880235</wp:posOffset>
                </wp:positionH>
                <wp:positionV relativeFrom="paragraph">
                  <wp:posOffset>125730</wp:posOffset>
                </wp:positionV>
                <wp:extent cx="10134600" cy="904875"/>
                <wp:effectExtent l="0" t="0" r="0" b="9525"/>
                <wp:wrapNone/>
                <wp:docPr id="6" name="Rectangle 6"/>
                <wp:cNvGraphicFramePr/>
                <a:graphic xmlns:a="http://schemas.openxmlformats.org/drawingml/2006/main">
                  <a:graphicData uri="http://schemas.microsoft.com/office/word/2010/wordprocessingShape">
                    <wps:wsp>
                      <wps:cNvSpPr/>
                      <wps:spPr>
                        <a:xfrm>
                          <a:off x="0" y="0"/>
                          <a:ext cx="10134600" cy="904875"/>
                        </a:xfrm>
                        <a:prstGeom prst="rect">
                          <a:avLst/>
                        </a:prstGeom>
                        <a:solidFill>
                          <a:srgbClr val="82BCA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85D87" w:rsidRDefault="00685D87" w:rsidP="00DE484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F25E76" id="Rectangle 6" o:spid="_x0000_s1027" style="position:absolute;margin-left:-148.05pt;margin-top:9.9pt;width:798pt;height:7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" fillcolor="#82bca9" stroked="f" strokeweight="2pt">
                <v:textbox>
                  <w:txbxContent>
                    <w:p w:rsidR="00685D87" w:rsidRDefault="00685D87" w:rsidP="00DE4846">
                      <w:pPr>
                        <w:jc w:val="center"/>
                      </w:pPr>
                    </w:p>
                  </w:txbxContent>
                </v:textbox>
              </v:rect>
            </w:pict>
          </mc:Fallback>
        </mc:AlternateContent>
      </w:r>
      <w:r w:rsidR="002F7CA7">
        <w:rPr>
          <w:color w:val="943634" w:themeColor="accent2" w:themeShade="BF"/>
          <w:sz w:val="32"/>
          <w:szCs w:val="32"/>
        </w:rPr>
        <w:t xml:space="preserve"> </w:t>
      </w:r>
    </w:p>
    <w:p w:rsidR="00DE4846" w:rsidRDefault="00DE4846" w:rsidP="007F331F">
      <w:pPr>
        <w:rPr>
          <w:color w:val="943634" w:themeColor="accent2" w:themeShade="BF"/>
          <w:sz w:val="32"/>
          <w:szCs w:val="32"/>
        </w:rPr>
      </w:pPr>
    </w:p>
    <w:p w:rsidR="00DE4846" w:rsidRDefault="00DE4846" w:rsidP="007F331F">
      <w:pPr>
        <w:rPr>
          <w:b/>
          <w:color w:val="943634" w:themeColor="accent2" w:themeShade="BF"/>
          <w:sz w:val="40"/>
          <w:szCs w:val="32"/>
        </w:rPr>
      </w:pPr>
    </w:p>
    <w:p w:rsidR="00CA2E8A" w:rsidRPr="00627D72" w:rsidRDefault="006F5EA0" w:rsidP="00CA2E8A">
      <w:pPr>
        <w:pBdr>
          <w:top w:val="single" w:sz="24" w:space="0" w:color="82BCA9"/>
          <w:left w:val="single" w:sz="24" w:space="0" w:color="82BCA9"/>
          <w:bottom w:val="single" w:sz="24" w:space="0" w:color="82BCA9"/>
          <w:right w:val="single" w:sz="24" w:space="0" w:color="82BCA9"/>
        </w:pBdr>
        <w:shd w:val="clear" w:color="auto" w:fill="82BCA9"/>
        <w:tabs>
          <w:tab w:val="right" w:pos="9026"/>
        </w:tabs>
        <w:spacing w:before="200" w:after="0"/>
        <w:outlineLvl w:val="0"/>
        <w:rPr>
          <w:rFonts w:ascii="Dotum" w:eastAsiaTheme="minorEastAsia" w:hAnsi="Dotum"/>
          <w:b/>
          <w:bCs/>
          <w:caps/>
          <w:color w:val="FFFFFF" w:themeColor="background1"/>
          <w:spacing w:val="15"/>
        </w:rPr>
      </w:pPr>
      <w:r>
        <w:rPr>
          <w:rFonts w:ascii="Dotum" w:eastAsiaTheme="minorEastAsia" w:hAnsi="Dotum"/>
          <w:b/>
          <w:bCs/>
          <w:caps/>
          <w:color w:val="FFFFFF" w:themeColor="background1"/>
          <w:spacing w:val="15"/>
        </w:rPr>
        <w:t>clinical management</w:t>
      </w:r>
      <w:r w:rsidR="00CA2E8A">
        <w:rPr>
          <w:rFonts w:ascii="Dotum" w:eastAsiaTheme="minorEastAsia" w:hAnsi="Dotum"/>
          <w:b/>
          <w:bCs/>
          <w:caps/>
          <w:color w:val="FFFFFF" w:themeColor="background1"/>
          <w:spacing w:val="15"/>
        </w:rPr>
        <w:tab/>
      </w:r>
    </w:p>
    <w:p w:rsidR="00C541F9" w:rsidRPr="00C541F9" w:rsidRDefault="00B01DD1" w:rsidP="00C541F9">
      <w:pPr>
        <w:pBdr>
          <w:top w:val="single" w:sz="6" w:space="2" w:color="D4802C"/>
          <w:left w:val="single" w:sz="6" w:space="2" w:color="D4802C"/>
        </w:pBdr>
        <w:spacing w:before="300"/>
        <w:outlineLvl w:val="2"/>
        <w:rPr>
          <w:rFonts w:cstheme="minorHAnsi"/>
          <w:color w:val="333333"/>
        </w:rPr>
      </w:pPr>
      <w:r w:rsidRPr="00D6477B">
        <w:rPr>
          <w:rFonts w:eastAsiaTheme="minorEastAsia"/>
          <w:b/>
          <w:caps/>
          <w:spacing w:val="15"/>
        </w:rPr>
        <w:t>Title:</w:t>
      </w:r>
      <w:r w:rsidRPr="00D6477B">
        <w:rPr>
          <w:rFonts w:eastAsiaTheme="minorEastAsia"/>
          <w:caps/>
          <w:spacing w:val="15"/>
        </w:rPr>
        <w:t xml:space="preserve"> </w:t>
      </w:r>
      <w:r w:rsidR="00C541F9" w:rsidRPr="00C541F9">
        <w:rPr>
          <w:rFonts w:eastAsiaTheme="minorEastAsia"/>
          <w:caps/>
          <w:spacing w:val="15"/>
        </w:rPr>
        <w:t>Mortality Rates Among Hospitalized Patients With COVID-19 Infection Treated With Tocilizumab and Corticosteroids</w:t>
      </w:r>
      <w:r w:rsidR="00C541F9">
        <w:rPr>
          <w:rFonts w:eastAsiaTheme="minorEastAsia"/>
          <w:caps/>
          <w:spacing w:val="15"/>
        </w:rPr>
        <w:t xml:space="preserve">: </w:t>
      </w:r>
      <w:r w:rsidR="00C541F9" w:rsidRPr="00C541F9">
        <w:rPr>
          <w:rFonts w:eastAsiaTheme="minorEastAsia"/>
          <w:caps/>
          <w:spacing w:val="15"/>
        </w:rPr>
        <w:t>A Bayesian Reanalysis of a Previous Meta-analysis</w:t>
      </w:r>
      <w:r w:rsidR="005D02F9">
        <w:rPr>
          <w:rFonts w:eastAsiaTheme="minorEastAsia"/>
          <w:caps/>
          <w:spacing w:val="15"/>
        </w:rPr>
        <w:br/>
      </w:r>
      <w:r w:rsidR="009B01A5">
        <w:rPr>
          <w:rFonts w:eastAsiaTheme="minorEastAsia"/>
          <w:caps/>
          <w:spacing w:val="15"/>
        </w:rPr>
        <w:br/>
      </w:r>
      <w:r w:rsidR="00C541F9">
        <w:rPr>
          <w:rFonts w:eastAsiaTheme="minorEastAsia"/>
          <w:caps/>
          <w:spacing w:val="15"/>
        </w:rPr>
        <w:t>jama</w:t>
      </w:r>
      <w:r w:rsidR="008B4670">
        <w:rPr>
          <w:rFonts w:eastAsiaTheme="minorEastAsia"/>
          <w:caps/>
          <w:spacing w:val="15"/>
        </w:rPr>
        <w:t xml:space="preserve">| </w:t>
      </w:r>
      <w:r w:rsidR="00C541F9">
        <w:rPr>
          <w:rFonts w:eastAsiaTheme="minorEastAsia"/>
          <w:caps/>
          <w:spacing w:val="15"/>
        </w:rPr>
        <w:t>28</w:t>
      </w:r>
      <w:r w:rsidR="009B01A5" w:rsidRPr="009B01A5">
        <w:rPr>
          <w:rFonts w:eastAsiaTheme="minorEastAsia"/>
          <w:caps/>
          <w:spacing w:val="15"/>
          <w:vertAlign w:val="superscript"/>
        </w:rPr>
        <w:t>th</w:t>
      </w:r>
      <w:r w:rsidR="009B01A5">
        <w:rPr>
          <w:rFonts w:eastAsiaTheme="minorEastAsia"/>
          <w:caps/>
          <w:spacing w:val="15"/>
        </w:rPr>
        <w:t xml:space="preserve"> </w:t>
      </w:r>
      <w:r>
        <w:rPr>
          <w:rFonts w:eastAsiaTheme="minorEastAsia"/>
          <w:caps/>
          <w:spacing w:val="15"/>
        </w:rPr>
        <w:t>february</w:t>
      </w:r>
      <w:r w:rsidR="009B01A5">
        <w:rPr>
          <w:rFonts w:eastAsiaTheme="minorEastAsia"/>
          <w:caps/>
          <w:spacing w:val="15"/>
        </w:rPr>
        <w:t xml:space="preserve"> 2022</w:t>
      </w:r>
      <w:r w:rsidR="005D02F9">
        <w:rPr>
          <w:rFonts w:eastAsiaTheme="minorEastAsia"/>
          <w:caps/>
          <w:spacing w:val="15"/>
        </w:rPr>
        <w:br/>
      </w:r>
      <w:r w:rsidR="005D02F9">
        <w:rPr>
          <w:rFonts w:eastAsiaTheme="minorEastAsia"/>
          <w:caps/>
          <w:spacing w:val="15"/>
        </w:rPr>
        <w:br/>
      </w:r>
      <w:r w:rsidR="00C541F9" w:rsidRPr="00C541F9">
        <w:rPr>
          <w:rFonts w:cstheme="minorHAnsi"/>
          <w:color w:val="333333"/>
        </w:rPr>
        <w:t>Question  Can bayesian methods clarify the uncertainty around tocilizumab’s association with mortality benefit in subgroups of hospitalized patients with COVID-19 receiving corticosteroids?</w:t>
      </w:r>
    </w:p>
    <w:p w:rsidR="00C541F9" w:rsidRPr="00C541F9" w:rsidRDefault="00C541F9" w:rsidP="00C541F9">
      <w:pPr>
        <w:pBdr>
          <w:top w:val="single" w:sz="6" w:space="2" w:color="D4802C"/>
          <w:left w:val="single" w:sz="6" w:space="2" w:color="D4802C"/>
        </w:pBdr>
        <w:spacing w:before="300"/>
        <w:outlineLvl w:val="2"/>
        <w:rPr>
          <w:rFonts w:cstheme="minorHAnsi"/>
          <w:color w:val="333333"/>
        </w:rPr>
      </w:pPr>
      <w:r w:rsidRPr="00C541F9">
        <w:rPr>
          <w:rFonts w:cstheme="minorHAnsi"/>
          <w:color w:val="333333"/>
        </w:rPr>
        <w:t>Findings  In this bayesian reanalysis of a previous meta-analysis of 15 randomized clinical trials comprising 5339 hospitalized patients with COVID-19 treated with tocilizumab and corticosteroids, those receiving simple oxygen only or noninvasive ventilation were associated with a clinically meaningful mortality benefit. In contrast, for those receiving invasive mechanical ventilation, an ass</w:t>
      </w:r>
      <w:r>
        <w:rPr>
          <w:rFonts w:cstheme="minorHAnsi"/>
          <w:color w:val="333333"/>
        </w:rPr>
        <w:t>o</w:t>
      </w:r>
      <w:r w:rsidRPr="00C541F9">
        <w:rPr>
          <w:rFonts w:cstheme="minorHAnsi"/>
          <w:color w:val="333333"/>
        </w:rPr>
        <w:t>ciation with benefit was uncertain.</w:t>
      </w:r>
    </w:p>
    <w:p w:rsidR="009B01A5" w:rsidRPr="009B01A5" w:rsidRDefault="00C541F9" w:rsidP="00C541F9">
      <w:pPr>
        <w:pBdr>
          <w:top w:val="single" w:sz="6" w:space="2" w:color="D4802C"/>
          <w:left w:val="single" w:sz="6" w:space="2" w:color="D4802C"/>
        </w:pBdr>
        <w:spacing w:before="300"/>
        <w:outlineLvl w:val="2"/>
        <w:rPr>
          <w:rFonts w:cstheme="minorHAnsi"/>
          <w:color w:val="333333"/>
        </w:rPr>
      </w:pPr>
      <w:r w:rsidRPr="00C541F9">
        <w:rPr>
          <w:rFonts w:cstheme="minorHAnsi"/>
          <w:color w:val="333333"/>
        </w:rPr>
        <w:t>Meaning  This study’s findings indicate that further research is needed to assess the association between mortality benefit or risk in patients with COVID-19 receiving invasive mechanical ventilation and treated with tocilizumab and corticosteroids.</w:t>
      </w:r>
      <w:r w:rsidR="009B01A5" w:rsidRPr="009B01A5">
        <w:rPr>
          <w:rFonts w:cstheme="minorHAnsi"/>
          <w:color w:val="333333"/>
        </w:rPr>
        <w:br/>
      </w:r>
      <w:hyperlink r:id="rId8" w:history="1">
        <w:r w:rsidRPr="005117FC">
          <w:rPr>
            <w:rStyle w:val="Hyperlink"/>
            <w:rFonts w:cstheme="minorHAnsi"/>
          </w:rPr>
          <w:t>https://jamanetwork.com/journals/jamanetworkopen/fullarticle/2789444</w:t>
        </w:r>
      </w:hyperlink>
      <w:r>
        <w:rPr>
          <w:rFonts w:cstheme="minorHAnsi"/>
          <w:color w:val="333333"/>
        </w:rPr>
        <w:t xml:space="preserve"> </w:t>
      </w:r>
    </w:p>
    <w:p w:rsidR="009B01A5" w:rsidRDefault="009B01A5" w:rsidP="00514A07">
      <w:pPr>
        <w:rPr>
          <w:bCs/>
        </w:rPr>
      </w:pPr>
    </w:p>
    <w:p w:rsidR="00C541F9" w:rsidRPr="00C541F9" w:rsidRDefault="00B01DD1" w:rsidP="00C541F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C541F9" w:rsidRPr="00C541F9">
        <w:rPr>
          <w:rFonts w:eastAsiaTheme="minorEastAsia"/>
          <w:caps/>
          <w:spacing w:val="15"/>
        </w:rPr>
        <w:t>Comparison of Outcomes and Process of Care for Patients Treated at Hospitals Dedicated for COVID-19 Care vs Other Hospitals</w:t>
      </w:r>
      <w:r w:rsidR="005D02F9">
        <w:rPr>
          <w:rFonts w:eastAsiaTheme="minorEastAsia"/>
          <w:caps/>
          <w:spacing w:val="15"/>
        </w:rPr>
        <w:br/>
      </w:r>
      <w:r w:rsidR="009B01A5">
        <w:rPr>
          <w:rFonts w:eastAsiaTheme="minorEastAsia"/>
          <w:caps/>
          <w:spacing w:val="15"/>
        </w:rPr>
        <w:br/>
        <w:t>JAMA</w:t>
      </w:r>
      <w:r>
        <w:rPr>
          <w:rFonts w:eastAsiaTheme="minorEastAsia"/>
          <w:caps/>
          <w:spacing w:val="15"/>
        </w:rPr>
        <w:t xml:space="preserve">| </w:t>
      </w:r>
      <w:r w:rsidR="00C541F9">
        <w:rPr>
          <w:rFonts w:eastAsiaTheme="minorEastAsia"/>
          <w:caps/>
          <w:spacing w:val="15"/>
        </w:rPr>
        <w:t>3</w:t>
      </w:r>
      <w:r w:rsidR="00C541F9" w:rsidRPr="00C541F9">
        <w:rPr>
          <w:rFonts w:eastAsiaTheme="minorEastAsia"/>
          <w:caps/>
          <w:spacing w:val="15"/>
          <w:vertAlign w:val="superscript"/>
        </w:rPr>
        <w:t>rd</w:t>
      </w:r>
      <w:r w:rsidR="00C541F9">
        <w:rPr>
          <w:rFonts w:eastAsiaTheme="minorEastAsia"/>
          <w:caps/>
          <w:spacing w:val="15"/>
        </w:rPr>
        <w:t xml:space="preserve"> march</w:t>
      </w:r>
      <w:r w:rsidR="009B01A5">
        <w:rPr>
          <w:rFonts w:eastAsiaTheme="minorEastAsia"/>
          <w:caps/>
          <w:spacing w:val="15"/>
        </w:rPr>
        <w:t xml:space="preserve"> 2022</w:t>
      </w:r>
      <w:r w:rsidR="005D02F9">
        <w:rPr>
          <w:rFonts w:eastAsiaTheme="minorEastAsia"/>
          <w:caps/>
          <w:spacing w:val="15"/>
        </w:rPr>
        <w:t xml:space="preserve"> </w:t>
      </w:r>
      <w:r w:rsidR="005D02F9">
        <w:rPr>
          <w:rFonts w:eastAsiaTheme="minorEastAsia"/>
          <w:caps/>
          <w:spacing w:val="15"/>
        </w:rPr>
        <w:br/>
      </w:r>
      <w:r w:rsidR="005D02F9">
        <w:rPr>
          <w:rFonts w:eastAsiaTheme="minorEastAsia"/>
          <w:caps/>
          <w:spacing w:val="15"/>
        </w:rPr>
        <w:br/>
      </w:r>
      <w:r w:rsidR="00C541F9" w:rsidRPr="00C541F9">
        <w:rPr>
          <w:rFonts w:eastAsiaTheme="minorEastAsia"/>
        </w:rPr>
        <w:t>Question  Is treatment of COVID-19 at a dedicated hospital associated with improved care processes and outcomes?</w:t>
      </w:r>
    </w:p>
    <w:p w:rsidR="00C541F9" w:rsidRPr="00C541F9" w:rsidRDefault="00C541F9" w:rsidP="00C541F9">
      <w:pPr>
        <w:pBdr>
          <w:top w:val="single" w:sz="6" w:space="2" w:color="D4802C"/>
          <w:left w:val="single" w:sz="6" w:space="2" w:color="D4802C"/>
        </w:pBdr>
        <w:spacing w:before="300"/>
        <w:outlineLvl w:val="2"/>
        <w:rPr>
          <w:rFonts w:eastAsiaTheme="minorEastAsia"/>
        </w:rPr>
      </w:pPr>
      <w:r w:rsidRPr="00C541F9">
        <w:rPr>
          <w:rFonts w:eastAsiaTheme="minorEastAsia"/>
        </w:rPr>
        <w:t>Findings  In this cohort study of 5504 patients with COVID-19, lower mortality rates were found in dedicated COVID-19 hospitals vs other hospitals.</w:t>
      </w:r>
    </w:p>
    <w:p w:rsidR="00A30349" w:rsidRDefault="00C541F9" w:rsidP="00C541F9">
      <w:pPr>
        <w:pBdr>
          <w:top w:val="single" w:sz="6" w:space="2" w:color="D4802C"/>
          <w:left w:val="single" w:sz="6" w:space="2" w:color="D4802C"/>
        </w:pBdr>
        <w:spacing w:before="300"/>
        <w:outlineLvl w:val="2"/>
        <w:rPr>
          <w:rFonts w:eastAsiaTheme="minorEastAsia"/>
        </w:rPr>
      </w:pPr>
      <w:r w:rsidRPr="00C541F9">
        <w:rPr>
          <w:rFonts w:eastAsiaTheme="minorEastAsia"/>
        </w:rPr>
        <w:lastRenderedPageBreak/>
        <w:t>Meaning  Results of this study suggest that treatment at dedicated COVID-19 hospitals may be associated with reducing in-hospital mortality; this model may be useful during future pandemics.</w:t>
      </w:r>
      <w:r w:rsidR="00174B7D">
        <w:rPr>
          <w:rFonts w:eastAsiaTheme="minorEastAsia"/>
        </w:rPr>
        <w:br/>
      </w:r>
      <w:hyperlink r:id="rId9" w:history="1">
        <w:r w:rsidRPr="005117FC">
          <w:rPr>
            <w:rStyle w:val="Hyperlink"/>
            <w:rFonts w:eastAsiaTheme="minorEastAsia"/>
          </w:rPr>
          <w:t>https://jamanetwork.com/journals/jamanetworkopen/fullarticle/2789581</w:t>
        </w:r>
      </w:hyperlink>
      <w:r>
        <w:rPr>
          <w:rFonts w:eastAsiaTheme="minorEastAsia"/>
        </w:rPr>
        <w:t xml:space="preserve"> </w:t>
      </w:r>
    </w:p>
    <w:p w:rsidR="005D02F9" w:rsidRDefault="005D02F9" w:rsidP="009B01A5">
      <w:pPr>
        <w:spacing w:before="200"/>
        <w:rPr>
          <w:rFonts w:eastAsiaTheme="minorEastAsia"/>
        </w:rPr>
      </w:pPr>
    </w:p>
    <w:p w:rsidR="001B3852" w:rsidRDefault="001B3852" w:rsidP="001B3852">
      <w:pPr>
        <w:pBdr>
          <w:top w:val="single" w:sz="6" w:space="2" w:color="D4802C"/>
          <w:left w:val="single" w:sz="6" w:space="2" w:color="D4802C"/>
        </w:pBdr>
        <w:spacing w:before="300"/>
        <w:outlineLvl w:val="2"/>
        <w:rPr>
          <w:color w:val="1A1A1A"/>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Pr="00C541F9">
        <w:rPr>
          <w:rFonts w:eastAsiaTheme="minorEastAsia"/>
          <w:caps/>
          <w:spacing w:val="15"/>
        </w:rPr>
        <w:t>Update to living WHO guideline on drugs for covid-19</w:t>
      </w:r>
      <w:r>
        <w:rPr>
          <w:rFonts w:eastAsiaTheme="minorEastAsia"/>
          <w:caps/>
          <w:spacing w:val="15"/>
        </w:rPr>
        <w:br/>
      </w:r>
      <w:r>
        <w:rPr>
          <w:rFonts w:eastAsiaTheme="minorEastAsia"/>
          <w:caps/>
          <w:spacing w:val="15"/>
        </w:rPr>
        <w:br/>
        <w:t>BMJ | 2</w:t>
      </w:r>
      <w:r w:rsidRPr="00C541F9">
        <w:rPr>
          <w:rFonts w:eastAsiaTheme="minorEastAsia"/>
          <w:caps/>
          <w:spacing w:val="15"/>
          <w:vertAlign w:val="superscript"/>
        </w:rPr>
        <w:t>nd</w:t>
      </w:r>
      <w:r>
        <w:rPr>
          <w:rFonts w:eastAsiaTheme="minorEastAsia"/>
          <w:caps/>
          <w:spacing w:val="15"/>
        </w:rPr>
        <w:t xml:space="preserve"> march 2022</w:t>
      </w:r>
      <w:r>
        <w:rPr>
          <w:rFonts w:eastAsiaTheme="minorEastAsia"/>
          <w:caps/>
          <w:spacing w:val="15"/>
        </w:rPr>
        <w:br/>
      </w:r>
      <w:r>
        <w:rPr>
          <w:rFonts w:eastAsiaTheme="minorEastAsia"/>
          <w:caps/>
          <w:spacing w:val="15"/>
        </w:rPr>
        <w:br/>
      </w:r>
      <w:r w:rsidRPr="00C541F9">
        <w:rPr>
          <w:color w:val="1A1A1A"/>
        </w:rPr>
        <w:t>The latest version of this WHO living guidance provides (a) a recommendation for the use of molnupiravir in patients with non-severe covid-19, for those at highest risk of hospitalisation and combined with implementation of mitigation strategies to reduce potential harms; (b) an update to the prior conditional recommendation for casirivimab-imdevimab in patients with non-severe covid-19 (for those at highest risk of hospitalisation) and severe or critical illness (for those with seronegative status)—the recommendation is now restricted to cases where rapid viral genotyping confirms infection with a susceptible SARS-CoV-2 variant (such as delta).</w:t>
      </w:r>
      <w:r>
        <w:rPr>
          <w:color w:val="1A1A1A"/>
        </w:rPr>
        <w:br/>
      </w:r>
      <w:hyperlink r:id="rId10" w:history="1">
        <w:r w:rsidRPr="005117FC">
          <w:rPr>
            <w:rStyle w:val="Hyperlink"/>
          </w:rPr>
          <w:t>https://www.bmj.com/content/376/bmj.o534</w:t>
        </w:r>
      </w:hyperlink>
      <w:r>
        <w:t xml:space="preserve"> </w:t>
      </w:r>
    </w:p>
    <w:p w:rsidR="001B3852" w:rsidRDefault="001B3852" w:rsidP="009B01A5">
      <w:pPr>
        <w:spacing w:before="200"/>
        <w:rPr>
          <w:rFonts w:eastAsiaTheme="minorEastAsia"/>
        </w:rPr>
      </w:pPr>
    </w:p>
    <w:p w:rsidR="00B01DD1" w:rsidRDefault="00B01DD1" w:rsidP="00C541F9">
      <w:pPr>
        <w:pBdr>
          <w:top w:val="single" w:sz="6" w:space="2" w:color="D4802C"/>
          <w:left w:val="single" w:sz="6" w:space="2" w:color="D4802C"/>
        </w:pBdr>
        <w:spacing w:before="300"/>
        <w:outlineLvl w:val="2"/>
        <w:rPr>
          <w:rFonts w:eastAsiaTheme="minorEastAsia"/>
        </w:rPr>
      </w:pPr>
      <w:r w:rsidRPr="008B4670">
        <w:rPr>
          <w:rFonts w:eastAsiaTheme="minorEastAsia"/>
          <w:b/>
          <w:caps/>
          <w:spacing w:val="15"/>
        </w:rPr>
        <w:t>Title:</w:t>
      </w:r>
      <w:r w:rsidRPr="008B4670">
        <w:rPr>
          <w:rFonts w:eastAsiaTheme="minorEastAsia"/>
          <w:caps/>
          <w:spacing w:val="15"/>
        </w:rPr>
        <w:t xml:space="preserve"> </w:t>
      </w:r>
      <w:r w:rsidR="00C541F9" w:rsidRPr="00C541F9">
        <w:rPr>
          <w:rFonts w:eastAsiaTheme="minorEastAsia"/>
          <w:caps/>
          <w:spacing w:val="15"/>
        </w:rPr>
        <w:t>The COVID Heart—One Year After SARS-CoV-2 Infection, Patients Have an Array of Increased Cardiovascular Risks</w:t>
      </w:r>
      <w:r w:rsidR="005D02F9">
        <w:rPr>
          <w:rFonts w:eastAsiaTheme="minorEastAsia"/>
          <w:caps/>
          <w:spacing w:val="15"/>
        </w:rPr>
        <w:br/>
      </w:r>
      <w:r w:rsidR="00C541F9">
        <w:rPr>
          <w:rFonts w:eastAsiaTheme="minorEastAsia"/>
          <w:caps/>
          <w:spacing w:val="15"/>
        </w:rPr>
        <w:br/>
        <w:t xml:space="preserve">JAMA| 2 march </w:t>
      </w:r>
      <w:r w:rsidR="009B01A5">
        <w:rPr>
          <w:rFonts w:eastAsiaTheme="minorEastAsia"/>
          <w:caps/>
          <w:spacing w:val="15"/>
        </w:rPr>
        <w:t>2022</w:t>
      </w:r>
      <w:r w:rsidR="005D02F9">
        <w:rPr>
          <w:rFonts w:eastAsiaTheme="minorEastAsia"/>
          <w:caps/>
          <w:spacing w:val="15"/>
        </w:rPr>
        <w:br/>
      </w:r>
      <w:r w:rsidR="005D02F9">
        <w:rPr>
          <w:rFonts w:eastAsiaTheme="minorEastAsia"/>
          <w:caps/>
          <w:spacing w:val="15"/>
        </w:rPr>
        <w:br/>
      </w:r>
      <w:r w:rsidR="00C541F9" w:rsidRPr="00C541F9">
        <w:rPr>
          <w:rFonts w:eastAsiaTheme="minorEastAsia"/>
        </w:rPr>
        <w:t>An analysis of data from nearly 154 000 US veterans with SARS-CoV-2 infection provides a grim preliminary answer to the question: What are COVID-19’s long-term cardiovascular outcomes? The study, published in Nature Medicine by researchers at the Veterans Affairs (VA) St Louis Health Care System, found that in the year after recovering from the illness’s acute phase, patients had increased risks of an array of cardiovascular problems, including abnormal heart rhythms, heart muscle inflammation, blood clots, strokes, myocardial infarction, and heart failure. What’s more, the heightened risks were evident even among those who weren’t hospitalized with acute COVID-19</w:t>
      </w:r>
      <w:r w:rsidR="009B01A5">
        <w:rPr>
          <w:rFonts w:eastAsiaTheme="minorEastAsia"/>
        </w:rPr>
        <w:br/>
      </w:r>
      <w:hyperlink r:id="rId11" w:history="1">
        <w:r w:rsidR="00C541F9" w:rsidRPr="005117FC">
          <w:rPr>
            <w:rStyle w:val="Hyperlink"/>
            <w:rFonts w:eastAsiaTheme="minorEastAsia"/>
          </w:rPr>
          <w:t>https://jamanetwork.com/journals/jama/fullarticle/2789793</w:t>
        </w:r>
      </w:hyperlink>
      <w:r w:rsidR="00C541F9">
        <w:rPr>
          <w:rFonts w:eastAsiaTheme="minorEastAsia"/>
        </w:rPr>
        <w:t xml:space="preserve"> </w:t>
      </w:r>
    </w:p>
    <w:p w:rsidR="005D02F9" w:rsidRDefault="005D02F9" w:rsidP="00174B7D">
      <w:pPr>
        <w:spacing w:after="300" w:line="240" w:lineRule="auto"/>
        <w:rPr>
          <w:rFonts w:eastAsiaTheme="minorEastAsia"/>
        </w:rPr>
      </w:pPr>
    </w:p>
    <w:p w:rsidR="00C541F9" w:rsidRDefault="00696896" w:rsidP="00C541F9">
      <w:pPr>
        <w:pBdr>
          <w:top w:val="single" w:sz="6" w:space="2" w:color="D4802C"/>
          <w:left w:val="single" w:sz="6" w:space="2" w:color="D4802C"/>
        </w:pBdr>
        <w:spacing w:before="300"/>
        <w:outlineLvl w:val="2"/>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C541F9" w:rsidRPr="00C541F9">
        <w:rPr>
          <w:rFonts w:eastAsiaTheme="minorEastAsia"/>
          <w:caps/>
          <w:spacing w:val="15"/>
        </w:rPr>
        <w:t>Covid-19: Anti-inflammatory treatment baricitinib reduces deaths in patients admitted to hospital, finds trial</w:t>
      </w:r>
      <w:r w:rsidR="005D02F9">
        <w:rPr>
          <w:rFonts w:eastAsiaTheme="minorEastAsia"/>
          <w:caps/>
          <w:spacing w:val="15"/>
        </w:rPr>
        <w:br/>
      </w:r>
      <w:r w:rsidR="00C541F9">
        <w:rPr>
          <w:rFonts w:eastAsiaTheme="minorEastAsia"/>
          <w:caps/>
          <w:spacing w:val="15"/>
        </w:rPr>
        <w:br/>
        <w:t>BMJ</w:t>
      </w:r>
      <w:r>
        <w:rPr>
          <w:rFonts w:eastAsiaTheme="minorEastAsia"/>
          <w:caps/>
          <w:spacing w:val="15"/>
        </w:rPr>
        <w:t>| 21 FEBRUARY 2022</w:t>
      </w:r>
      <w:r w:rsidR="005D02F9">
        <w:rPr>
          <w:rFonts w:eastAsiaTheme="minorEastAsia"/>
          <w:caps/>
          <w:spacing w:val="15"/>
        </w:rPr>
        <w:br/>
      </w:r>
      <w:r w:rsidR="005D02F9">
        <w:rPr>
          <w:rFonts w:eastAsiaTheme="minorEastAsia"/>
          <w:caps/>
          <w:spacing w:val="15"/>
        </w:rPr>
        <w:br/>
      </w:r>
      <w:r w:rsidR="00C541F9">
        <w:t xml:space="preserve">Anti-inflammatory treatment baricitinib, which is normally used to treat rheumatoid arthritis, </w:t>
      </w:r>
      <w:r w:rsidR="00C541F9">
        <w:lastRenderedPageBreak/>
        <w:t>reduces the risk of death in patients admitted to hospital with severe covid-19 by around one fifth, the Randomised Evaluation of Covid-19 Therapy</w:t>
      </w:r>
      <w:r w:rsidR="001B3852">
        <w:t xml:space="preserve"> (Recovery) trial has reported. </w:t>
      </w:r>
    </w:p>
    <w:p w:rsidR="00C541F9" w:rsidRDefault="00C541F9" w:rsidP="00C541F9">
      <w:pPr>
        <w:pBdr>
          <w:top w:val="single" w:sz="6" w:space="2" w:color="D4802C"/>
          <w:left w:val="single" w:sz="6" w:space="2" w:color="D4802C"/>
        </w:pBdr>
        <w:spacing w:before="300"/>
        <w:outlineLvl w:val="2"/>
      </w:pPr>
      <w:r>
        <w:t>Researchers leading the trial from the University of Oxford said that the benefit of baricitinib was on top of those seen for dexamethasone2 and tocilizumab,3 the two other anti-inflammatory treatments that the trial previously found to reduce the risk of death in these patients.</w:t>
      </w:r>
    </w:p>
    <w:p w:rsidR="00C541F9" w:rsidRDefault="00C541F9" w:rsidP="00C541F9">
      <w:pPr>
        <w:pBdr>
          <w:top w:val="single" w:sz="6" w:space="2" w:color="D4802C"/>
          <w:left w:val="single" w:sz="6" w:space="2" w:color="D4802C"/>
        </w:pBdr>
        <w:spacing w:before="300"/>
        <w:outlineLvl w:val="2"/>
      </w:pPr>
      <w:r>
        <w:t>The trial’s joint chief investigator Martin Landray, professor of medicine and epidemiology at Oxford Population Health, said, “This opens up the possibility of using combinations of anti-inflammatory drugs to further drive down the risk of death for some of the sickest patients.”</w:t>
      </w:r>
      <w:r>
        <w:t xml:space="preserve">  </w:t>
      </w:r>
      <w:hyperlink r:id="rId12" w:history="1">
        <w:r w:rsidRPr="005117FC">
          <w:rPr>
            <w:rStyle w:val="Hyperlink"/>
          </w:rPr>
          <w:t>https://www.bmj.com/content/376/bmj.o573</w:t>
        </w:r>
      </w:hyperlink>
      <w:r>
        <w:t xml:space="preserve"> </w:t>
      </w:r>
    </w:p>
    <w:p w:rsidR="005D02F9" w:rsidRDefault="005D02F9" w:rsidP="005D02F9">
      <w:pPr>
        <w:spacing w:before="200"/>
        <w:rPr>
          <w:rFonts w:eastAsiaTheme="minorEastAsia"/>
        </w:rPr>
      </w:pPr>
    </w:p>
    <w:p w:rsidR="00C541F9" w:rsidRPr="00C541F9" w:rsidRDefault="008B4670" w:rsidP="00C541F9">
      <w:pPr>
        <w:pBdr>
          <w:top w:val="single" w:sz="6" w:space="2" w:color="D4802C"/>
          <w:left w:val="single" w:sz="6" w:space="2" w:color="D4802C"/>
        </w:pBdr>
        <w:spacing w:before="300"/>
        <w:outlineLvl w:val="2"/>
        <w:rPr>
          <w:color w:val="4D4D4D"/>
          <w:shd w:val="clear" w:color="auto" w:fill="FFFFFF"/>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C541F9" w:rsidRPr="00C541F9">
        <w:rPr>
          <w:rFonts w:eastAsiaTheme="minorEastAsia"/>
          <w:caps/>
          <w:spacing w:val="15"/>
        </w:rPr>
        <w:t>Molnupiravir’s authorisation was premature</w:t>
      </w:r>
      <w:r w:rsidR="005D02F9">
        <w:rPr>
          <w:rFonts w:eastAsiaTheme="minorEastAsia"/>
          <w:caps/>
          <w:spacing w:val="15"/>
        </w:rPr>
        <w:br/>
      </w:r>
      <w:r w:rsidR="00C541F9">
        <w:rPr>
          <w:rFonts w:eastAsiaTheme="minorEastAsia"/>
          <w:caps/>
          <w:spacing w:val="15"/>
        </w:rPr>
        <w:br/>
        <w:t>BMJ</w:t>
      </w:r>
      <w:r>
        <w:rPr>
          <w:rFonts w:eastAsiaTheme="minorEastAsia"/>
          <w:caps/>
          <w:spacing w:val="15"/>
        </w:rPr>
        <w:t xml:space="preserve"> | 24</w:t>
      </w:r>
      <w:r w:rsidR="00C45423" w:rsidRPr="00C45423">
        <w:rPr>
          <w:rFonts w:eastAsiaTheme="minorEastAsia"/>
          <w:caps/>
          <w:spacing w:val="15"/>
          <w:vertAlign w:val="superscript"/>
        </w:rPr>
        <w:t>th</w:t>
      </w:r>
      <w:r w:rsidR="00C45423">
        <w:rPr>
          <w:rFonts w:eastAsiaTheme="minorEastAsia"/>
          <w:caps/>
          <w:spacing w:val="15"/>
        </w:rPr>
        <w:t xml:space="preserve"> </w:t>
      </w:r>
      <w:r w:rsidR="00C45423">
        <w:rPr>
          <w:rFonts w:eastAsiaTheme="minorEastAsia"/>
          <w:caps/>
          <w:spacing w:val="15"/>
          <w:vertAlign w:val="superscript"/>
        </w:rPr>
        <w:t xml:space="preserve"> </w:t>
      </w:r>
      <w:r>
        <w:rPr>
          <w:rFonts w:eastAsiaTheme="minorEastAsia"/>
          <w:caps/>
          <w:spacing w:val="15"/>
        </w:rPr>
        <w:t>FEBRUARY 2022</w:t>
      </w:r>
      <w:r w:rsidR="005D02F9">
        <w:rPr>
          <w:rFonts w:eastAsiaTheme="minorEastAsia"/>
          <w:caps/>
          <w:spacing w:val="15"/>
        </w:rPr>
        <w:br/>
      </w:r>
      <w:r w:rsidR="005D02F9">
        <w:rPr>
          <w:rFonts w:eastAsiaTheme="minorEastAsia"/>
          <w:caps/>
          <w:spacing w:val="15"/>
        </w:rPr>
        <w:br/>
      </w:r>
      <w:r w:rsidR="00C541F9" w:rsidRPr="00C541F9">
        <w:rPr>
          <w:color w:val="4D4D4D"/>
          <w:shd w:val="clear" w:color="auto" w:fill="FFFFFF"/>
        </w:rPr>
        <w:t>Regulatory decisions fall short of the wise stewardship required during a pandemic</w:t>
      </w:r>
      <w:r w:rsidR="001B3852">
        <w:rPr>
          <w:color w:val="4D4D4D"/>
          <w:shd w:val="clear" w:color="auto" w:fill="FFFFFF"/>
        </w:rPr>
        <w:t xml:space="preserve">. </w:t>
      </w:r>
    </w:p>
    <w:p w:rsidR="00C541F9" w:rsidRPr="00C541F9" w:rsidRDefault="00C541F9" w:rsidP="00C541F9">
      <w:pPr>
        <w:pBdr>
          <w:top w:val="single" w:sz="6" w:space="2" w:color="D4802C"/>
          <w:left w:val="single" w:sz="6" w:space="2" w:color="D4802C"/>
        </w:pBdr>
        <w:spacing w:before="300"/>
        <w:outlineLvl w:val="2"/>
        <w:rPr>
          <w:color w:val="4D4D4D"/>
          <w:shd w:val="clear" w:color="auto" w:fill="FFFFFF"/>
        </w:rPr>
      </w:pPr>
      <w:r w:rsidRPr="00C541F9">
        <w:rPr>
          <w:color w:val="4D4D4D"/>
          <w:shd w:val="clear" w:color="auto" w:fill="FFFFFF"/>
        </w:rPr>
        <w:t>On 1 October 2021 Merck issued a press release1 reporting an interim analysis of Move-Out, a phase 3 randomised placebo controlled trial in unvaccinated adults with confirmed SARS-Co-V infection and mild-to-moderate symptoms outside hospital. The press release stated that molnupiravir, a nucleoside analogue that inhibits viral replication by mutagenesis, reduced risk of hospital admission or death by about 50% (P=0.0012) in the 29 days after infection.</w:t>
      </w:r>
    </w:p>
    <w:p w:rsidR="00C541F9" w:rsidRDefault="00C541F9" w:rsidP="005D02F9">
      <w:pPr>
        <w:pBdr>
          <w:top w:val="single" w:sz="6" w:space="2" w:color="D4802C"/>
          <w:left w:val="single" w:sz="6" w:space="2" w:color="D4802C"/>
        </w:pBdr>
        <w:spacing w:before="300"/>
        <w:outlineLvl w:val="2"/>
        <w:rPr>
          <w:color w:val="4D4D4D"/>
          <w:shd w:val="clear" w:color="auto" w:fill="FFFFFF"/>
        </w:rPr>
      </w:pPr>
      <w:r w:rsidRPr="00C541F9">
        <w:rPr>
          <w:color w:val="4D4D4D"/>
          <w:shd w:val="clear" w:color="auto" w:fill="FFFFFF"/>
        </w:rPr>
        <w:t>The UK Medicines and Healthcare Products Regulatory Agency (MHRA) gave molnupiravir conditional marketing authorisation on 4 November 2021, based on the interim data underlying the press release.2 On 23 December, the US Food and Drug Administration (FDA) granted emergency use authorisation after seeing the trial’s full dataset.3 These authorisations, conducted behind closed doors, lack adequate scientific rigour, inhibit further necessary evaluations, and may ultimately lead to suboptimal resource allocation decisions.</w:t>
      </w:r>
      <w:r>
        <w:rPr>
          <w:color w:val="4D4D4D"/>
          <w:shd w:val="clear" w:color="auto" w:fill="FFFFFF"/>
        </w:rPr>
        <w:t xml:space="preserve"> … </w:t>
      </w:r>
      <w:r>
        <w:rPr>
          <w:color w:val="4D4D4D"/>
          <w:shd w:val="clear" w:color="auto" w:fill="FFFFFF"/>
        </w:rPr>
        <w:br/>
      </w:r>
      <w:r>
        <w:rPr>
          <w:color w:val="4D4D4D"/>
          <w:shd w:val="clear" w:color="auto" w:fill="FFFFFF"/>
        </w:rPr>
        <w:br/>
      </w:r>
      <w:r w:rsidRPr="00C541F9">
        <w:rPr>
          <w:color w:val="4D4D4D"/>
          <w:shd w:val="clear" w:color="auto" w:fill="FFFFFF"/>
        </w:rPr>
        <w:t>The evidence for incorporating molnupiravir into routine practice is fragile. Premature regulatory authorisation and guideline recommendation13 on the basis of truncated and non-replicated trial findings and without full consideration of clinical, not statistical, significance and cost effectiveness falls far short of the wise stewardship of limited healthcare resources required during a global healthcare emergency. We deserve and should demand better.</w:t>
      </w:r>
      <w:r w:rsidR="001B3852">
        <w:rPr>
          <w:color w:val="4D4D4D"/>
          <w:shd w:val="clear" w:color="auto" w:fill="FFFFFF"/>
        </w:rPr>
        <w:br/>
      </w:r>
      <w:hyperlink r:id="rId13" w:history="1">
        <w:r w:rsidRPr="005117FC">
          <w:rPr>
            <w:rStyle w:val="Hyperlink"/>
            <w:shd w:val="clear" w:color="auto" w:fill="FFFFFF"/>
          </w:rPr>
          <w:t>https://www.bmj.com/content/376/bmj.o443</w:t>
        </w:r>
      </w:hyperlink>
      <w:r>
        <w:rPr>
          <w:color w:val="4D4D4D"/>
          <w:shd w:val="clear" w:color="auto" w:fill="FFFFFF"/>
        </w:rPr>
        <w:t xml:space="preserve"> </w:t>
      </w:r>
    </w:p>
    <w:p w:rsidR="005D02F9" w:rsidRDefault="005D02F9" w:rsidP="00D067BE">
      <w:pPr>
        <w:spacing w:before="200"/>
        <w:rPr>
          <w:color w:val="1A1A1A"/>
          <w:sz w:val="27"/>
          <w:szCs w:val="27"/>
        </w:rPr>
      </w:pPr>
    </w:p>
    <w:p w:rsidR="00EB2DD9" w:rsidRDefault="00EB2DD9" w:rsidP="00D067BE">
      <w:pPr>
        <w:spacing w:before="200"/>
        <w:rPr>
          <w:color w:val="1A1A1A"/>
          <w:sz w:val="27"/>
          <w:szCs w:val="27"/>
        </w:rPr>
      </w:pPr>
    </w:p>
    <w:p w:rsidR="001B3852" w:rsidRDefault="008779F1" w:rsidP="002C206E">
      <w:pPr>
        <w:pBdr>
          <w:top w:val="single" w:sz="6" w:space="2" w:color="D4802C"/>
          <w:left w:val="single" w:sz="6" w:space="2" w:color="D4802C"/>
        </w:pBdr>
        <w:spacing w:before="300"/>
        <w:outlineLvl w:val="2"/>
        <w:rPr>
          <w:rFonts w:cstheme="minorHAnsi"/>
          <w:color w:val="505050"/>
          <w:shd w:val="clear" w:color="auto" w:fill="FFFFFF"/>
        </w:rPr>
      </w:pPr>
      <w:r>
        <w:rPr>
          <w:rFonts w:eastAsiaTheme="minorEastAsia"/>
          <w:b/>
          <w:caps/>
          <w:spacing w:val="15"/>
        </w:rPr>
        <w:lastRenderedPageBreak/>
        <w:t>t</w:t>
      </w:r>
      <w:r w:rsidRPr="008B4670">
        <w:rPr>
          <w:rFonts w:eastAsiaTheme="minorEastAsia"/>
          <w:b/>
          <w:caps/>
          <w:spacing w:val="15"/>
        </w:rPr>
        <w:t>itle:</w:t>
      </w:r>
      <w:r w:rsidRPr="008B4670">
        <w:rPr>
          <w:rFonts w:eastAsiaTheme="minorEastAsia"/>
          <w:caps/>
          <w:spacing w:val="15"/>
        </w:rPr>
        <w:t xml:space="preserve"> </w:t>
      </w:r>
      <w:r w:rsidR="002C206E" w:rsidRPr="002C206E">
        <w:rPr>
          <w:rFonts w:eastAsiaTheme="minorEastAsia"/>
          <w:caps/>
          <w:spacing w:val="15"/>
        </w:rPr>
        <w:t>A randomized double-blind placebo-controlled clinical trial of nitazoxanide for treatment of mild or moderate COVID-19</w:t>
      </w:r>
      <w:r>
        <w:rPr>
          <w:rFonts w:eastAsiaTheme="minorEastAsia"/>
          <w:caps/>
          <w:spacing w:val="15"/>
        </w:rPr>
        <w:br/>
      </w:r>
      <w:r>
        <w:rPr>
          <w:rFonts w:eastAsiaTheme="minorEastAsia"/>
          <w:caps/>
          <w:spacing w:val="15"/>
        </w:rPr>
        <w:br/>
        <w:t>THE LANCET</w:t>
      </w:r>
      <w:r w:rsidR="002C206E">
        <w:rPr>
          <w:rFonts w:eastAsiaTheme="minorEastAsia"/>
          <w:caps/>
          <w:spacing w:val="15"/>
        </w:rPr>
        <w:t xml:space="preserve"> eClinical medicine| 28</w:t>
      </w:r>
      <w:r w:rsidRPr="008B4670">
        <w:rPr>
          <w:rFonts w:eastAsiaTheme="minorEastAsia"/>
          <w:caps/>
          <w:spacing w:val="15"/>
          <w:vertAlign w:val="superscript"/>
        </w:rPr>
        <w:t>TH</w:t>
      </w:r>
      <w:r>
        <w:rPr>
          <w:rFonts w:eastAsiaTheme="minorEastAsia"/>
          <w:caps/>
          <w:spacing w:val="15"/>
        </w:rPr>
        <w:t xml:space="preserve"> FEBRUARY 2022</w:t>
      </w:r>
      <w:r>
        <w:rPr>
          <w:rFonts w:eastAsiaTheme="minorEastAsia"/>
          <w:caps/>
          <w:spacing w:val="15"/>
        </w:rPr>
        <w:br/>
      </w:r>
      <w:r>
        <w:br/>
      </w:r>
      <w:r w:rsidR="002C206E" w:rsidRPr="002C206E">
        <w:rPr>
          <w:rFonts w:cstheme="minorHAnsi"/>
          <w:color w:val="505050"/>
          <w:shd w:val="clear" w:color="auto" w:fill="FFFFFF"/>
        </w:rPr>
        <w:t>Background</w:t>
      </w:r>
      <w:r w:rsidR="001B3852">
        <w:rPr>
          <w:rFonts w:cstheme="minorHAnsi"/>
          <w:color w:val="505050"/>
          <w:shd w:val="clear" w:color="auto" w:fill="FFFFFF"/>
        </w:rPr>
        <w:t xml:space="preserve">.  </w:t>
      </w:r>
      <w:r w:rsidR="002C206E" w:rsidRPr="002C206E">
        <w:rPr>
          <w:rFonts w:cstheme="minorHAnsi"/>
          <w:color w:val="505050"/>
          <w:shd w:val="clear" w:color="auto" w:fill="FFFFFF"/>
        </w:rPr>
        <w:t>There is an urgent need for treatments of mild or moderate COVID-19 in an outpatient setting.</w:t>
      </w:r>
      <w:r w:rsidR="001B3852">
        <w:rPr>
          <w:rFonts w:cstheme="minorHAnsi"/>
          <w:color w:val="505050"/>
          <w:shd w:val="clear" w:color="auto" w:fill="FFFFFF"/>
        </w:rPr>
        <w:t xml:space="preserve"> </w:t>
      </w:r>
    </w:p>
    <w:p w:rsidR="002C206E" w:rsidRPr="002C206E" w:rsidRDefault="002C206E" w:rsidP="002C206E">
      <w:pPr>
        <w:pBdr>
          <w:top w:val="single" w:sz="6" w:space="2" w:color="D4802C"/>
          <w:left w:val="single" w:sz="6" w:space="2" w:color="D4802C"/>
        </w:pBdr>
        <w:spacing w:before="300"/>
        <w:outlineLvl w:val="2"/>
        <w:rPr>
          <w:rFonts w:cstheme="minorHAnsi"/>
          <w:color w:val="505050"/>
          <w:shd w:val="clear" w:color="auto" w:fill="FFFFFF"/>
        </w:rPr>
      </w:pPr>
      <w:r w:rsidRPr="002C206E">
        <w:rPr>
          <w:rFonts w:cstheme="minorHAnsi"/>
          <w:color w:val="505050"/>
          <w:shd w:val="clear" w:color="auto" w:fill="FFFFFF"/>
        </w:rPr>
        <w:t>Methods</w:t>
      </w:r>
      <w:r w:rsidR="001B3852">
        <w:rPr>
          <w:rFonts w:cstheme="minorHAnsi"/>
          <w:color w:val="505050"/>
          <w:shd w:val="clear" w:color="auto" w:fill="FFFFFF"/>
        </w:rPr>
        <w:t xml:space="preserve">. </w:t>
      </w:r>
      <w:r w:rsidRPr="002C206E">
        <w:rPr>
          <w:rFonts w:cstheme="minorHAnsi"/>
          <w:color w:val="505050"/>
          <w:shd w:val="clear" w:color="auto" w:fill="FFFFFF"/>
        </w:rPr>
        <w:t>A randomized double-blind placebo-controlled clinical trial in 36 centers in the U.S. between August 2020 and February 2021 investigated the safety and effectiveness of oral nitazoxanide 600 mg twice daily for five days in outpatients with symptoms of mild or moderate COVID-19 enrolled within 72 h of symptom onset (ClinicalTrials.gov NCT04486313). Efficacy endpoints were time to sustained clinical recovery (TSR, a novel primary endpoint) and proportion of participants progressing to severe illness within 28 days (key secondary).</w:t>
      </w:r>
    </w:p>
    <w:p w:rsidR="002C206E" w:rsidRPr="002C206E" w:rsidRDefault="002C206E" w:rsidP="002C206E">
      <w:pPr>
        <w:pBdr>
          <w:top w:val="single" w:sz="6" w:space="2" w:color="D4802C"/>
          <w:left w:val="single" w:sz="6" w:space="2" w:color="D4802C"/>
        </w:pBdr>
        <w:spacing w:before="300"/>
        <w:outlineLvl w:val="2"/>
        <w:rPr>
          <w:rFonts w:cstheme="minorHAnsi"/>
          <w:color w:val="505050"/>
          <w:shd w:val="clear" w:color="auto" w:fill="FFFFFF"/>
        </w:rPr>
      </w:pPr>
      <w:r w:rsidRPr="002C206E">
        <w:rPr>
          <w:rFonts w:cstheme="minorHAnsi"/>
          <w:color w:val="505050"/>
          <w:shd w:val="clear" w:color="auto" w:fill="FFFFFF"/>
        </w:rPr>
        <w:t>Findings</w:t>
      </w:r>
      <w:r w:rsidR="001B3852">
        <w:rPr>
          <w:rFonts w:cstheme="minorHAnsi"/>
          <w:color w:val="505050"/>
          <w:shd w:val="clear" w:color="auto" w:fill="FFFFFF"/>
        </w:rPr>
        <w:t xml:space="preserve">. </w:t>
      </w:r>
      <w:r w:rsidRPr="002C206E">
        <w:rPr>
          <w:rFonts w:cstheme="minorHAnsi"/>
          <w:color w:val="505050"/>
          <w:shd w:val="clear" w:color="auto" w:fill="FFFFFF"/>
        </w:rPr>
        <w:t>1092 participants were enrolled. 379 with laboratory-confirmed SARS-CoV-2 infection were analyzed. In the primary analysis, median (IQR) TSR were 13·3 (6·3, &gt;21) and 12·4 (7·2, &gt;21) days for the nitazoxanide and placebo groups, respectively (p = 0·88). 1 of 184 (0·5%) treated with nitazoxanide progressed to severe illness compared to 7 of 195 (3·6%) treated with placebo (key secondary analysis, odds ratio 5·6 [95% CI 0·7 - 46·1], relative risk reduction 85%, p = 0·07). In the pre-defined stratum with mild illness at baseline, nitazoxanide-treated participants experienced reductions in median TSR (3·1 days, p = 0·09) and usual health (5·2 days, p &lt; 0·01) compared to placebo. Nitazoxanide was safe and well tolerated.</w:t>
      </w:r>
    </w:p>
    <w:p w:rsidR="008779F1" w:rsidRDefault="002C206E" w:rsidP="002C206E">
      <w:pPr>
        <w:pBdr>
          <w:top w:val="single" w:sz="6" w:space="2" w:color="D4802C"/>
          <w:left w:val="single" w:sz="6" w:space="2" w:color="D4802C"/>
        </w:pBdr>
        <w:spacing w:before="300"/>
        <w:outlineLvl w:val="2"/>
      </w:pPr>
      <w:r w:rsidRPr="002C206E">
        <w:rPr>
          <w:rFonts w:cstheme="minorHAnsi"/>
          <w:color w:val="505050"/>
          <w:shd w:val="clear" w:color="auto" w:fill="FFFFFF"/>
        </w:rPr>
        <w:t>Interpretation</w:t>
      </w:r>
      <w:r w:rsidR="001B3852">
        <w:rPr>
          <w:rFonts w:cstheme="minorHAnsi"/>
          <w:color w:val="505050"/>
          <w:shd w:val="clear" w:color="auto" w:fill="FFFFFF"/>
        </w:rPr>
        <w:t xml:space="preserve">. </w:t>
      </w:r>
      <w:r w:rsidRPr="002C206E">
        <w:rPr>
          <w:rFonts w:cstheme="minorHAnsi"/>
          <w:color w:val="505050"/>
          <w:shd w:val="clear" w:color="auto" w:fill="FFFFFF"/>
        </w:rPr>
        <w:t>Further trials with larger numbers are warranted to evaluate efficacy of nitazoxanide therapy in preventing progression to severe illness in patients at high risk of severe illness and reducing TSR in patients with mild illness.</w:t>
      </w:r>
      <w:r>
        <w:rPr>
          <w:rFonts w:cstheme="minorHAnsi"/>
          <w:color w:val="505050"/>
          <w:shd w:val="clear" w:color="auto" w:fill="FFFFFF"/>
        </w:rPr>
        <w:br/>
      </w:r>
      <w:hyperlink r:id="rId14" w:history="1">
        <w:r w:rsidRPr="001B3852">
          <w:rPr>
            <w:rStyle w:val="Hyperlink"/>
            <w:rFonts w:cstheme="minorHAnsi"/>
            <w:shd w:val="clear" w:color="auto" w:fill="FFFFFF"/>
          </w:rPr>
          <w:t>https://www.thelancet.com/journals/eclinm/article/PIIS2589-5370(22)00040-2/fulltext</w:t>
        </w:r>
      </w:hyperlink>
      <w:r>
        <w:rPr>
          <w:rFonts w:ascii="Arial" w:hAnsi="Arial" w:cs="Arial"/>
          <w:color w:val="505050"/>
          <w:sz w:val="27"/>
          <w:szCs w:val="27"/>
          <w:shd w:val="clear" w:color="auto" w:fill="FFFFFF"/>
        </w:rPr>
        <w:t xml:space="preserve"> </w:t>
      </w:r>
      <w:r w:rsidR="008779F1">
        <w:rPr>
          <w:rFonts w:ascii="Arial" w:hAnsi="Arial" w:cs="Arial"/>
          <w:color w:val="505050"/>
          <w:sz w:val="27"/>
          <w:szCs w:val="27"/>
          <w:shd w:val="clear" w:color="auto" w:fill="FFFFFF"/>
        </w:rPr>
        <w:br/>
      </w:r>
    </w:p>
    <w:p w:rsidR="008779F1" w:rsidRDefault="008779F1" w:rsidP="00D067BE">
      <w:pPr>
        <w:spacing w:before="200"/>
        <w:rPr>
          <w:color w:val="1A1A1A"/>
          <w:sz w:val="27"/>
          <w:szCs w:val="27"/>
        </w:rPr>
      </w:pPr>
    </w:p>
    <w:p w:rsidR="002C206E" w:rsidRDefault="00685D87" w:rsidP="002C206E">
      <w:pPr>
        <w:pBdr>
          <w:top w:val="single" w:sz="6" w:space="2" w:color="D4802C"/>
          <w:left w:val="single" w:sz="6" w:space="2" w:color="D4802C"/>
        </w:pBdr>
        <w:spacing w:before="300"/>
        <w:outlineLvl w:val="2"/>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2C206E" w:rsidRPr="002C206E">
        <w:rPr>
          <w:rFonts w:eastAsiaTheme="minorEastAsia"/>
          <w:caps/>
          <w:spacing w:val="15"/>
        </w:rPr>
        <w:t>Severe COVID-19 as a virus-independent immunothrombotic process</w:t>
      </w:r>
      <w:r w:rsidR="002C206E">
        <w:rPr>
          <w:rFonts w:eastAsiaTheme="minorEastAsia"/>
          <w:caps/>
          <w:spacing w:val="15"/>
        </w:rPr>
        <w:t xml:space="preserve"> [correspondence]</w:t>
      </w:r>
      <w:r w:rsidR="002C206E">
        <w:rPr>
          <w:rFonts w:eastAsiaTheme="minorEastAsia"/>
          <w:caps/>
          <w:spacing w:val="15"/>
        </w:rPr>
        <w:br/>
      </w:r>
      <w:r w:rsidR="002C206E">
        <w:rPr>
          <w:rFonts w:eastAsiaTheme="minorEastAsia"/>
          <w:caps/>
          <w:spacing w:val="15"/>
        </w:rPr>
        <w:br/>
        <w:t>THE LANCEt rheumatology| march</w:t>
      </w:r>
      <w:r>
        <w:rPr>
          <w:rFonts w:eastAsiaTheme="minorEastAsia"/>
          <w:caps/>
          <w:spacing w:val="15"/>
        </w:rPr>
        <w:t xml:space="preserve"> 2022</w:t>
      </w:r>
      <w:r>
        <w:rPr>
          <w:rFonts w:eastAsiaTheme="minorEastAsia"/>
          <w:caps/>
          <w:spacing w:val="15"/>
        </w:rPr>
        <w:br/>
      </w:r>
      <w:r>
        <w:br/>
      </w:r>
      <w:r w:rsidR="002C206E">
        <w:t>We read with interest the Viewpoint1</w:t>
      </w:r>
      <w:r w:rsidR="002C206E">
        <w:t xml:space="preserve"> </w:t>
      </w:r>
      <w:r w:rsidR="002C206E">
        <w:t>by Dennis McGonagle and colleagues in which they question the strategy of universal immunosuppression in patients with moderate-to-severe COVID-19 because of a concern about ongoing alveolar viral replication in these patients. We believe that this concern is unwarranted, as the key pathology driving severe COVID-19 is not active viral replication in the pneumocytes, but rather antibody-dependent inflammation leading to immunothrombosis.</w:t>
      </w:r>
      <w:r w:rsidR="002C206E">
        <w:br/>
      </w:r>
      <w:hyperlink r:id="rId15" w:history="1">
        <w:r w:rsidR="002C206E" w:rsidRPr="005117FC">
          <w:rPr>
            <w:rStyle w:val="Hyperlink"/>
          </w:rPr>
          <w:t>https://www.thelancet.com/journals/lanrhe/article/PIIS2665-9913(22)00033-9/fulltext</w:t>
        </w:r>
      </w:hyperlink>
      <w:r w:rsidR="002C206E">
        <w:t xml:space="preserve"> </w:t>
      </w:r>
    </w:p>
    <w:p w:rsidR="002C206E" w:rsidRPr="002C206E" w:rsidRDefault="00016DB5" w:rsidP="002C206E">
      <w:pPr>
        <w:pBdr>
          <w:top w:val="single" w:sz="6" w:space="2" w:color="D4802C"/>
          <w:left w:val="single" w:sz="6" w:space="2" w:color="D4802C"/>
        </w:pBdr>
        <w:spacing w:before="300"/>
        <w:outlineLvl w:val="2"/>
        <w:rPr>
          <w:rFonts w:cstheme="minorHAnsi"/>
          <w:color w:val="4D4D4D"/>
          <w:shd w:val="clear" w:color="auto" w:fill="FFFFFF"/>
        </w:rPr>
      </w:pPr>
      <w:r>
        <w:rPr>
          <w:rFonts w:eastAsiaTheme="minorEastAsia"/>
          <w:b/>
          <w:caps/>
          <w:spacing w:val="15"/>
        </w:rPr>
        <w:lastRenderedPageBreak/>
        <w:t>t</w:t>
      </w:r>
      <w:r w:rsidRPr="008B4670">
        <w:rPr>
          <w:rFonts w:eastAsiaTheme="minorEastAsia"/>
          <w:b/>
          <w:caps/>
          <w:spacing w:val="15"/>
        </w:rPr>
        <w:t>itle:</w:t>
      </w:r>
      <w:r w:rsidRPr="008B4670">
        <w:rPr>
          <w:rFonts w:eastAsiaTheme="minorEastAsia"/>
          <w:caps/>
          <w:spacing w:val="15"/>
        </w:rPr>
        <w:t xml:space="preserve"> </w:t>
      </w:r>
      <w:r w:rsidR="002C206E" w:rsidRPr="002C206E">
        <w:rPr>
          <w:rFonts w:eastAsiaTheme="minorEastAsia"/>
          <w:caps/>
          <w:spacing w:val="15"/>
        </w:rPr>
        <w:t>The impact of remote home monitoring of people with COVID-19 using pulse oximetry: A national population and observational study</w:t>
      </w:r>
      <w:r w:rsidR="005D02F9">
        <w:rPr>
          <w:rFonts w:eastAsiaTheme="minorEastAsia"/>
          <w:caps/>
          <w:spacing w:val="15"/>
        </w:rPr>
        <w:br/>
      </w:r>
      <w:r w:rsidR="002C206E">
        <w:rPr>
          <w:rFonts w:eastAsiaTheme="minorEastAsia"/>
          <w:caps/>
          <w:spacing w:val="15"/>
        </w:rPr>
        <w:br/>
        <w:t>the lancet eclinical medicine</w:t>
      </w:r>
      <w:r>
        <w:rPr>
          <w:rFonts w:eastAsiaTheme="minorEastAsia"/>
          <w:caps/>
          <w:spacing w:val="15"/>
        </w:rPr>
        <w:t xml:space="preserve"> </w:t>
      </w:r>
      <w:r w:rsidR="002C206E">
        <w:rPr>
          <w:rFonts w:eastAsiaTheme="minorEastAsia"/>
          <w:caps/>
          <w:spacing w:val="15"/>
        </w:rPr>
        <w:t>| 1</w:t>
      </w:r>
      <w:r w:rsidR="002C206E" w:rsidRPr="002C206E">
        <w:rPr>
          <w:rFonts w:eastAsiaTheme="minorEastAsia"/>
          <w:caps/>
          <w:spacing w:val="15"/>
          <w:vertAlign w:val="superscript"/>
        </w:rPr>
        <w:t>st</w:t>
      </w:r>
      <w:r w:rsidR="002C206E">
        <w:rPr>
          <w:rFonts w:eastAsiaTheme="minorEastAsia"/>
          <w:caps/>
          <w:spacing w:val="15"/>
        </w:rPr>
        <w:t xml:space="preserve"> march</w:t>
      </w:r>
      <w:r>
        <w:rPr>
          <w:rFonts w:eastAsiaTheme="minorEastAsia"/>
          <w:caps/>
          <w:spacing w:val="15"/>
        </w:rPr>
        <w:t xml:space="preserve"> 2022</w:t>
      </w:r>
      <w:r w:rsidR="005D02F9">
        <w:rPr>
          <w:rFonts w:eastAsiaTheme="minorEastAsia"/>
          <w:caps/>
          <w:spacing w:val="15"/>
        </w:rPr>
        <w:br/>
      </w:r>
      <w:r w:rsidR="005D02F9">
        <w:rPr>
          <w:rFonts w:eastAsiaTheme="minorEastAsia"/>
          <w:caps/>
          <w:spacing w:val="15"/>
        </w:rPr>
        <w:br/>
      </w:r>
      <w:r w:rsidR="002C206E" w:rsidRPr="002C206E">
        <w:rPr>
          <w:rFonts w:cstheme="minorHAnsi"/>
          <w:color w:val="4D4D4D"/>
          <w:shd w:val="clear" w:color="auto" w:fill="FFFFFF"/>
        </w:rPr>
        <w:t>Background</w:t>
      </w:r>
      <w:r w:rsidR="001B3852">
        <w:rPr>
          <w:rFonts w:cstheme="minorHAnsi"/>
          <w:color w:val="4D4D4D"/>
          <w:shd w:val="clear" w:color="auto" w:fill="FFFFFF"/>
        </w:rPr>
        <w:t xml:space="preserve">. </w:t>
      </w:r>
      <w:r w:rsidR="002C206E" w:rsidRPr="002C206E">
        <w:rPr>
          <w:rFonts w:cstheme="minorHAnsi"/>
          <w:color w:val="4D4D4D"/>
          <w:shd w:val="clear" w:color="auto" w:fill="FFFFFF"/>
        </w:rPr>
        <w:t>Remote home monitoring of people testing positive for COVID-19 using pulse oximetry was implemented across England during the Winter of 2020/21 to identify falling blood oxygen saturation levels at an early stage. This was hypothesised to enable earlier hospital admission, reduce the need for intensive care and improve survival. This study is an evaluation of the clinical effectiveness of the pre-hospital monitoring programme, COVID oximetry @home (CO@h).</w:t>
      </w:r>
    </w:p>
    <w:p w:rsidR="002C206E" w:rsidRPr="002C206E" w:rsidRDefault="002C206E" w:rsidP="002C206E">
      <w:pPr>
        <w:pBdr>
          <w:top w:val="single" w:sz="6" w:space="2" w:color="D4802C"/>
          <w:left w:val="single" w:sz="6" w:space="2" w:color="D4802C"/>
        </w:pBdr>
        <w:spacing w:before="300"/>
        <w:outlineLvl w:val="2"/>
        <w:rPr>
          <w:rFonts w:cstheme="minorHAnsi"/>
          <w:color w:val="4D4D4D"/>
          <w:shd w:val="clear" w:color="auto" w:fill="FFFFFF"/>
        </w:rPr>
      </w:pPr>
      <w:r w:rsidRPr="002C206E">
        <w:rPr>
          <w:rFonts w:cstheme="minorHAnsi"/>
          <w:color w:val="4D4D4D"/>
          <w:shd w:val="clear" w:color="auto" w:fill="FFFFFF"/>
        </w:rPr>
        <w:t>Methods</w:t>
      </w:r>
      <w:r w:rsidR="001B3852">
        <w:rPr>
          <w:rFonts w:cstheme="minorHAnsi"/>
          <w:color w:val="4D4D4D"/>
          <w:shd w:val="clear" w:color="auto" w:fill="FFFFFF"/>
        </w:rPr>
        <w:t xml:space="preserve">. </w:t>
      </w:r>
      <w:r w:rsidRPr="002C206E">
        <w:rPr>
          <w:rFonts w:cstheme="minorHAnsi"/>
          <w:color w:val="4D4D4D"/>
          <w:shd w:val="clear" w:color="auto" w:fill="FFFFFF"/>
        </w:rPr>
        <w:t>The setting was all Clinical Commissioning Group (CCG) areas in England where there were complete data on the number of people enrolled onto the programme between 2nd November 2020 and 21st February 2021. We analysed relationships at a geographical area level between the extent to which people aged 65 or over were enrolled onto the programme and outcomes over the period between November 2020 to February 2021.</w:t>
      </w:r>
    </w:p>
    <w:p w:rsidR="002C206E" w:rsidRPr="002C206E" w:rsidRDefault="002C206E" w:rsidP="002C206E">
      <w:pPr>
        <w:pBdr>
          <w:top w:val="single" w:sz="6" w:space="2" w:color="D4802C"/>
          <w:left w:val="single" w:sz="6" w:space="2" w:color="D4802C"/>
        </w:pBdr>
        <w:spacing w:before="300"/>
        <w:outlineLvl w:val="2"/>
        <w:rPr>
          <w:rFonts w:cstheme="minorHAnsi"/>
          <w:color w:val="4D4D4D"/>
          <w:shd w:val="clear" w:color="auto" w:fill="FFFFFF"/>
        </w:rPr>
      </w:pPr>
      <w:r w:rsidRPr="002C206E">
        <w:rPr>
          <w:rFonts w:cstheme="minorHAnsi"/>
          <w:color w:val="4D4D4D"/>
          <w:shd w:val="clear" w:color="auto" w:fill="FFFFFF"/>
        </w:rPr>
        <w:t>Findings</w:t>
      </w:r>
      <w:r w:rsidR="001B3852">
        <w:rPr>
          <w:rFonts w:cstheme="minorHAnsi"/>
          <w:color w:val="4D4D4D"/>
          <w:shd w:val="clear" w:color="auto" w:fill="FFFFFF"/>
        </w:rPr>
        <w:t>. F</w:t>
      </w:r>
      <w:r w:rsidRPr="002C206E">
        <w:rPr>
          <w:rFonts w:cstheme="minorHAnsi"/>
          <w:color w:val="4D4D4D"/>
          <w:shd w:val="clear" w:color="auto" w:fill="FFFFFF"/>
        </w:rPr>
        <w:t>or every 10% increase in coverage of the programme, mortality was reduced by 2% (95% confidence interval:4% reduction to 1% increase), admissions increased by 3% (-1% to 7%), in-hospital mortality fell by 3% (-8% to 3%) and lengths of stay increased by 1·8% (-1·2% to 4·9%). None of these results are statistically significant, although the confidence interval indicates that any adverse effect on mortality would be small, but a mortality reduction of up to 4% may have resulted from the programme.</w:t>
      </w:r>
    </w:p>
    <w:p w:rsidR="00D067BE" w:rsidRPr="00D067BE" w:rsidRDefault="002C206E" w:rsidP="002C206E">
      <w:pPr>
        <w:pBdr>
          <w:top w:val="single" w:sz="6" w:space="2" w:color="D4802C"/>
          <w:left w:val="single" w:sz="6" w:space="2" w:color="D4802C"/>
        </w:pBdr>
        <w:spacing w:before="300"/>
        <w:outlineLvl w:val="2"/>
        <w:rPr>
          <w:rFonts w:cstheme="minorHAnsi"/>
          <w:color w:val="1A1A1A"/>
        </w:rPr>
      </w:pPr>
      <w:r w:rsidRPr="002C206E">
        <w:rPr>
          <w:rFonts w:cstheme="minorHAnsi"/>
          <w:color w:val="4D4D4D"/>
          <w:shd w:val="clear" w:color="auto" w:fill="FFFFFF"/>
        </w:rPr>
        <w:t>Interpretation</w:t>
      </w:r>
      <w:r w:rsidR="001B3852">
        <w:rPr>
          <w:rFonts w:cstheme="minorHAnsi"/>
          <w:color w:val="4D4D4D"/>
          <w:shd w:val="clear" w:color="auto" w:fill="FFFFFF"/>
        </w:rPr>
        <w:t xml:space="preserve">. </w:t>
      </w:r>
      <w:r w:rsidRPr="002C206E">
        <w:rPr>
          <w:rFonts w:cstheme="minorHAnsi"/>
          <w:color w:val="4D4D4D"/>
          <w:shd w:val="clear" w:color="auto" w:fill="FFFFFF"/>
        </w:rPr>
        <w:t>There are several possible explanations for our findings. One is that CO@h did not have the hypothesised impact. Another is that the low rates of enrolment and incomplete data in many areas reduced the chances of detecting any impact that may have existed. Also, CO@h has been implemented in many different ways across the country and these may have had varying levels of effect.</w:t>
      </w:r>
      <w:r w:rsidR="00D067BE">
        <w:rPr>
          <w:rFonts w:cstheme="minorHAnsi"/>
          <w:color w:val="4D4D4D"/>
          <w:shd w:val="clear" w:color="auto" w:fill="FFFFFF"/>
        </w:rPr>
        <w:br/>
      </w:r>
      <w:hyperlink r:id="rId16" w:history="1">
        <w:r w:rsidRPr="005117FC">
          <w:rPr>
            <w:rStyle w:val="Hyperlink"/>
            <w:rFonts w:cstheme="minorHAnsi"/>
          </w:rPr>
          <w:t>https://www.thelancet.com/journals/eclinm/article/PIIS2589-5370(22)00048-7/fulltext</w:t>
        </w:r>
      </w:hyperlink>
      <w:r>
        <w:rPr>
          <w:rFonts w:cstheme="minorHAnsi"/>
          <w:color w:val="1A1A1A"/>
        </w:rPr>
        <w:t xml:space="preserve"> </w:t>
      </w:r>
    </w:p>
    <w:p w:rsidR="00EB7EBD" w:rsidRDefault="00EB7EBD" w:rsidP="00A30349">
      <w:pPr>
        <w:spacing w:before="200"/>
        <w:rPr>
          <w:rFonts w:eastAsiaTheme="minorEastAsia"/>
        </w:rPr>
      </w:pPr>
    </w:p>
    <w:p w:rsidR="0024067F" w:rsidRDefault="0024067F" w:rsidP="0024067F">
      <w:pPr>
        <w:spacing w:before="200"/>
        <w:rPr>
          <w:rFonts w:eastAsiaTheme="minorEastAsia"/>
        </w:rPr>
      </w:pPr>
    </w:p>
    <w:p w:rsidR="00775293" w:rsidRDefault="00775293" w:rsidP="00775293">
      <w:pPr>
        <w:pBdr>
          <w:top w:val="single" w:sz="6" w:space="2" w:color="D4802C"/>
          <w:left w:val="single" w:sz="6" w:space="2" w:color="D4802C"/>
        </w:pBdr>
        <w:spacing w:before="300"/>
        <w:outlineLvl w:val="2"/>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Pr="00775293">
        <w:rPr>
          <w:rFonts w:eastAsiaTheme="minorEastAsia"/>
          <w:caps/>
          <w:spacing w:val="15"/>
        </w:rPr>
        <w:t>Defining post-COVID condition</w:t>
      </w:r>
      <w:r>
        <w:rPr>
          <w:rFonts w:eastAsiaTheme="minorEastAsia"/>
          <w:caps/>
          <w:spacing w:val="15"/>
        </w:rPr>
        <w:t xml:space="preserve"> [correspondence] </w:t>
      </w:r>
      <w:r>
        <w:rPr>
          <w:rFonts w:eastAsiaTheme="minorEastAsia"/>
          <w:caps/>
          <w:spacing w:val="15"/>
        </w:rPr>
        <w:br/>
      </w:r>
      <w:r>
        <w:rPr>
          <w:rFonts w:eastAsiaTheme="minorEastAsia"/>
          <w:caps/>
          <w:spacing w:val="15"/>
        </w:rPr>
        <w:br/>
      </w:r>
      <w:r w:rsidRPr="00775293">
        <w:rPr>
          <w:rFonts w:eastAsiaTheme="minorEastAsia"/>
          <w:caps/>
          <w:spacing w:val="15"/>
        </w:rPr>
        <w:t>The Lancet Infectious Diseases</w:t>
      </w:r>
      <w:r>
        <w:rPr>
          <w:rFonts w:eastAsiaTheme="minorEastAsia"/>
          <w:caps/>
          <w:spacing w:val="15"/>
        </w:rPr>
        <w:t>| m</w:t>
      </w:r>
      <w:r>
        <w:rPr>
          <w:rFonts w:eastAsiaTheme="minorEastAsia"/>
          <w:spacing w:val="15"/>
        </w:rPr>
        <w:t xml:space="preserve">ARCH </w:t>
      </w:r>
      <w:r>
        <w:rPr>
          <w:rFonts w:eastAsiaTheme="minorEastAsia"/>
          <w:caps/>
          <w:spacing w:val="15"/>
        </w:rPr>
        <w:t>2022</w:t>
      </w:r>
      <w:r>
        <w:rPr>
          <w:rFonts w:eastAsiaTheme="minorEastAsia"/>
          <w:caps/>
          <w:spacing w:val="15"/>
        </w:rPr>
        <w:br/>
      </w:r>
      <w:r>
        <w:br/>
      </w:r>
      <w:r>
        <w:t xml:space="preserve">Joan B Soriano and colleagues </w:t>
      </w:r>
      <w:r>
        <w:t>proposed a clinical case definition for post-COVID-19 condition. We thank this WHO-led working group for their efforts to provide an operational definition for this emerging, challenging condition.</w:t>
      </w:r>
      <w:r>
        <w:br/>
      </w:r>
      <w:hyperlink r:id="rId17" w:history="1">
        <w:r w:rsidRPr="005117FC">
          <w:rPr>
            <w:rStyle w:val="Hyperlink"/>
          </w:rPr>
          <w:t>https://www.thelancet.com/journals/laninf/article/PIIS1473-3099(22)00060-3/fulltext</w:t>
        </w:r>
      </w:hyperlink>
      <w:r>
        <w:t xml:space="preserve"> </w:t>
      </w:r>
    </w:p>
    <w:p w:rsidR="00E4765C" w:rsidRDefault="00E4765C" w:rsidP="00E4765C">
      <w:pPr>
        <w:pBdr>
          <w:top w:val="single" w:sz="6" w:space="2" w:color="D4802C"/>
          <w:left w:val="single" w:sz="6" w:space="2" w:color="D4802C"/>
        </w:pBdr>
        <w:spacing w:before="300"/>
        <w:outlineLvl w:val="2"/>
      </w:pPr>
      <w:r>
        <w:rPr>
          <w:rFonts w:eastAsiaTheme="minorEastAsia"/>
          <w:b/>
          <w:caps/>
          <w:spacing w:val="15"/>
        </w:rPr>
        <w:lastRenderedPageBreak/>
        <w:t>t</w:t>
      </w:r>
      <w:r w:rsidRPr="008B4670">
        <w:rPr>
          <w:rFonts w:eastAsiaTheme="minorEastAsia"/>
          <w:b/>
          <w:caps/>
          <w:spacing w:val="15"/>
        </w:rPr>
        <w:t>itle:</w:t>
      </w:r>
      <w:r w:rsidRPr="008B4670">
        <w:rPr>
          <w:rFonts w:eastAsiaTheme="minorEastAsia"/>
          <w:caps/>
          <w:spacing w:val="15"/>
        </w:rPr>
        <w:t xml:space="preserve"> </w:t>
      </w:r>
      <w:r w:rsidRPr="00E4765C">
        <w:rPr>
          <w:rFonts w:eastAsiaTheme="minorEastAsia"/>
          <w:caps/>
          <w:spacing w:val="15"/>
        </w:rPr>
        <w:t>Compromised periodontal status could increase mortality for patients with COVID-19</w:t>
      </w:r>
      <w:r>
        <w:rPr>
          <w:rFonts w:eastAsiaTheme="minorEastAsia"/>
          <w:caps/>
          <w:spacing w:val="15"/>
        </w:rPr>
        <w:br/>
      </w:r>
      <w:r>
        <w:rPr>
          <w:rFonts w:eastAsiaTheme="minorEastAsia"/>
          <w:caps/>
          <w:spacing w:val="15"/>
        </w:rPr>
        <w:br/>
      </w:r>
      <w:r w:rsidRPr="00775293">
        <w:rPr>
          <w:rFonts w:eastAsiaTheme="minorEastAsia"/>
          <w:caps/>
          <w:spacing w:val="15"/>
        </w:rPr>
        <w:t>The Lancet Infectious Diseases</w:t>
      </w:r>
      <w:r>
        <w:rPr>
          <w:rFonts w:eastAsiaTheme="minorEastAsia"/>
          <w:caps/>
          <w:spacing w:val="15"/>
        </w:rPr>
        <w:t>| m</w:t>
      </w:r>
      <w:r>
        <w:rPr>
          <w:rFonts w:eastAsiaTheme="minorEastAsia"/>
          <w:spacing w:val="15"/>
        </w:rPr>
        <w:t xml:space="preserve">ARCH </w:t>
      </w:r>
      <w:r>
        <w:rPr>
          <w:rFonts w:eastAsiaTheme="minorEastAsia"/>
          <w:caps/>
          <w:spacing w:val="15"/>
        </w:rPr>
        <w:t>2022</w:t>
      </w:r>
      <w:r>
        <w:rPr>
          <w:rFonts w:eastAsiaTheme="minorEastAsia"/>
          <w:caps/>
          <w:spacing w:val="15"/>
        </w:rPr>
        <w:br/>
      </w:r>
      <w:r>
        <w:br/>
        <w:t>In their active surveillance study of patients with COVID-19 in south India, Ramanan Laxminarayan and colleagues1 reported an increased risk of death in patients who had a history of diabetes (adjusted hazard ratio 2·28, 95% CI 1·79–2·91), hypertension (2·08, 1·62–2·66), other circulatory disorders (3·89, 2·66–5·71), cancer (8·04, 3·47–18·65), or respiratory disorders (4·57, 2·43–8·61). Male sex, older age, and chronic kidney disease were also associated with higher mortality in individuals with COVID-19.1</w:t>
      </w:r>
      <w:r w:rsidR="001B3852">
        <w:t xml:space="preserve">. </w:t>
      </w:r>
      <w:r>
        <w:t>Here, we would like to add the possibility of a link between periodontal disease and COVID-19, which went unrecorded and might have played an important role through a direct correlation between periodontal compromise and the disease process in COVID-19 and through an indirect effect in worsening the status of underlying comorbidities.</w:t>
      </w:r>
      <w:r>
        <w:br/>
      </w:r>
      <w:hyperlink r:id="rId18" w:history="1">
        <w:r w:rsidRPr="005117FC">
          <w:rPr>
            <w:rStyle w:val="Hyperlink"/>
          </w:rPr>
          <w:t>https://www.thelancet.com/journals/laninf/article/PIIS1473-3099(22)00065-2/fulltext</w:t>
        </w:r>
      </w:hyperlink>
    </w:p>
    <w:p w:rsidR="00E4765C" w:rsidRDefault="00E4765C" w:rsidP="0024067F">
      <w:pPr>
        <w:spacing w:before="200"/>
        <w:rPr>
          <w:rFonts w:eastAsiaTheme="minorEastAsia"/>
        </w:rPr>
      </w:pPr>
    </w:p>
    <w:p w:rsidR="006A1B1D" w:rsidRDefault="006A1B1D" w:rsidP="006A1B1D">
      <w:pPr>
        <w:pBdr>
          <w:top w:val="single" w:sz="6" w:space="2" w:color="D4802C"/>
          <w:left w:val="single" w:sz="6" w:space="2" w:color="D4802C"/>
        </w:pBdr>
        <w:spacing w:before="300"/>
        <w:outlineLvl w:val="2"/>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Pr="006A1B1D">
        <w:rPr>
          <w:rFonts w:eastAsiaTheme="minorEastAsia"/>
          <w:caps/>
          <w:spacing w:val="15"/>
        </w:rPr>
        <w:t>Association of COVID-19 Infection With Survival After In-Hospital Cardiac Arrest Among US Adults</w:t>
      </w:r>
      <w:r>
        <w:rPr>
          <w:rFonts w:eastAsiaTheme="minorEastAsia"/>
          <w:caps/>
          <w:spacing w:val="15"/>
        </w:rPr>
        <w:t xml:space="preserve"> [research letter]</w:t>
      </w:r>
      <w:r>
        <w:rPr>
          <w:rFonts w:eastAsiaTheme="minorEastAsia"/>
          <w:caps/>
          <w:spacing w:val="15"/>
        </w:rPr>
        <w:br/>
      </w:r>
      <w:r>
        <w:rPr>
          <w:rFonts w:eastAsiaTheme="minorEastAsia"/>
          <w:caps/>
          <w:spacing w:val="15"/>
        </w:rPr>
        <w:br/>
      </w:r>
      <w:r>
        <w:rPr>
          <w:rFonts w:eastAsiaTheme="minorEastAsia"/>
          <w:caps/>
          <w:spacing w:val="15"/>
        </w:rPr>
        <w:t>jama</w:t>
      </w:r>
      <w:r>
        <w:rPr>
          <w:rFonts w:eastAsiaTheme="minorEastAsia"/>
          <w:caps/>
          <w:spacing w:val="15"/>
        </w:rPr>
        <w:t xml:space="preserve">| </w:t>
      </w:r>
      <w:r>
        <w:rPr>
          <w:rFonts w:eastAsiaTheme="minorEastAsia"/>
          <w:caps/>
          <w:spacing w:val="15"/>
        </w:rPr>
        <w:t>2</w:t>
      </w:r>
      <w:r w:rsidRPr="006A1B1D">
        <w:rPr>
          <w:rFonts w:eastAsiaTheme="minorEastAsia"/>
          <w:caps/>
          <w:spacing w:val="15"/>
          <w:vertAlign w:val="superscript"/>
        </w:rPr>
        <w:t>nd</w:t>
      </w:r>
      <w:r>
        <w:rPr>
          <w:rFonts w:eastAsiaTheme="minorEastAsia"/>
          <w:caps/>
          <w:spacing w:val="15"/>
        </w:rPr>
        <w:t xml:space="preserve"> </w:t>
      </w:r>
      <w:r>
        <w:rPr>
          <w:rFonts w:eastAsiaTheme="minorEastAsia"/>
          <w:caps/>
          <w:spacing w:val="15"/>
        </w:rPr>
        <w:t>m</w:t>
      </w:r>
      <w:r>
        <w:rPr>
          <w:rFonts w:eastAsiaTheme="minorEastAsia"/>
          <w:spacing w:val="15"/>
        </w:rPr>
        <w:t xml:space="preserve">ARCH </w:t>
      </w:r>
      <w:r>
        <w:rPr>
          <w:rFonts w:eastAsiaTheme="minorEastAsia"/>
          <w:caps/>
          <w:spacing w:val="15"/>
        </w:rPr>
        <w:t>2022</w:t>
      </w:r>
      <w:r>
        <w:rPr>
          <w:rFonts w:eastAsiaTheme="minorEastAsia"/>
          <w:caps/>
          <w:spacing w:val="15"/>
        </w:rPr>
        <w:br/>
      </w:r>
      <w:r>
        <w:br/>
      </w:r>
      <w:r w:rsidRPr="006A1B1D">
        <w:t>Early on in the COVID-19 pandemic, investigators reported poor survival rates (&lt;3%) after in-hospital cardiac arrest (IHCA) among patients with COVID-19 infection in the US and China.1-3 These findings have prompted discussions regarding universal do-not-resuscitate orders for patients with COVID-19.4 However, these results were from single-center studies that comprised only 295 patients with COVID-19 in hospitals that were overwhelmed early during the pandemic. Whether the poor IHCA survival rate reported in earlier studies is broadly representative of patients with COVID-19 in US hospitals remains unknown. This study examined the association of COVID-19 infection with survival outcomes of US adults after IHCA.</w:t>
      </w:r>
      <w:r>
        <w:br/>
      </w:r>
      <w:hyperlink r:id="rId19" w:history="1">
        <w:r w:rsidRPr="005117FC">
          <w:rPr>
            <w:rStyle w:val="Hyperlink"/>
          </w:rPr>
          <w:t>https://jamanetwork.com/journals/jamanetworkopen/fullarticle/2789573</w:t>
        </w:r>
      </w:hyperlink>
      <w:r>
        <w:t xml:space="preserve"> </w:t>
      </w:r>
    </w:p>
    <w:p w:rsidR="006A1B1D" w:rsidRDefault="006A1B1D" w:rsidP="0024067F">
      <w:pPr>
        <w:spacing w:before="200"/>
        <w:rPr>
          <w:rFonts w:eastAsiaTheme="minorEastAsia"/>
        </w:rPr>
      </w:pPr>
    </w:p>
    <w:p w:rsidR="006A1B1D" w:rsidRDefault="006A1B1D" w:rsidP="006A1B1D">
      <w:pPr>
        <w:pBdr>
          <w:top w:val="single" w:sz="6" w:space="2" w:color="D4802C"/>
          <w:left w:val="single" w:sz="6" w:space="2" w:color="D4802C"/>
        </w:pBdr>
        <w:spacing w:before="300"/>
        <w:outlineLvl w:val="2"/>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Pr="006A1B1D">
        <w:rPr>
          <w:rFonts w:eastAsiaTheme="minorEastAsia"/>
          <w:caps/>
          <w:spacing w:val="15"/>
        </w:rPr>
        <w:t>Fluvoxamine for the treatment of COVID-19</w:t>
      </w:r>
      <w:r>
        <w:rPr>
          <w:rFonts w:eastAsiaTheme="minorEastAsia"/>
          <w:caps/>
          <w:spacing w:val="15"/>
        </w:rPr>
        <w:t xml:space="preserve"> [correspondence]</w:t>
      </w:r>
      <w:r>
        <w:rPr>
          <w:rFonts w:eastAsiaTheme="minorEastAsia"/>
          <w:caps/>
          <w:spacing w:val="15"/>
        </w:rPr>
        <w:br/>
      </w:r>
      <w:r>
        <w:rPr>
          <w:rFonts w:eastAsiaTheme="minorEastAsia"/>
          <w:caps/>
          <w:spacing w:val="15"/>
        </w:rPr>
        <w:br/>
      </w:r>
      <w:r>
        <w:rPr>
          <w:rFonts w:eastAsiaTheme="minorEastAsia"/>
          <w:caps/>
          <w:spacing w:val="15"/>
        </w:rPr>
        <w:t xml:space="preserve">the lancet global health </w:t>
      </w:r>
      <w:r>
        <w:rPr>
          <w:rFonts w:eastAsiaTheme="minorEastAsia"/>
          <w:caps/>
          <w:spacing w:val="15"/>
        </w:rPr>
        <w:t>|</w:t>
      </w:r>
      <w:r>
        <w:rPr>
          <w:rFonts w:eastAsiaTheme="minorEastAsia"/>
          <w:caps/>
          <w:spacing w:val="15"/>
        </w:rPr>
        <w:t xml:space="preserve"> 3</w:t>
      </w:r>
      <w:r w:rsidRPr="006A1B1D">
        <w:rPr>
          <w:rFonts w:eastAsiaTheme="minorEastAsia"/>
          <w:caps/>
          <w:spacing w:val="15"/>
          <w:vertAlign w:val="superscript"/>
        </w:rPr>
        <w:t>rd</w:t>
      </w:r>
      <w:r>
        <w:rPr>
          <w:rFonts w:eastAsiaTheme="minorEastAsia"/>
          <w:caps/>
          <w:spacing w:val="15"/>
        </w:rPr>
        <w:t xml:space="preserve"> </w:t>
      </w:r>
      <w:r>
        <w:rPr>
          <w:rFonts w:eastAsiaTheme="minorEastAsia"/>
          <w:caps/>
          <w:spacing w:val="15"/>
        </w:rPr>
        <w:t>m</w:t>
      </w:r>
      <w:r>
        <w:rPr>
          <w:rFonts w:eastAsiaTheme="minorEastAsia"/>
          <w:spacing w:val="15"/>
        </w:rPr>
        <w:t xml:space="preserve">ARCH </w:t>
      </w:r>
      <w:r>
        <w:rPr>
          <w:rFonts w:eastAsiaTheme="minorEastAsia"/>
          <w:caps/>
          <w:spacing w:val="15"/>
        </w:rPr>
        <w:t>2022</w:t>
      </w:r>
      <w:r>
        <w:rPr>
          <w:rFonts w:eastAsiaTheme="minorEastAsia"/>
          <w:caps/>
          <w:spacing w:val="15"/>
        </w:rPr>
        <w:br/>
      </w:r>
      <w:r>
        <w:br/>
      </w:r>
      <w:hyperlink r:id="rId20" w:history="1">
        <w:r w:rsidRPr="005117FC">
          <w:rPr>
            <w:rStyle w:val="Hyperlink"/>
          </w:rPr>
          <w:t>https://www.thelancet.com/journals/langlo/article/PIIS2214-109X(22)00006-7/fulltext</w:t>
        </w:r>
      </w:hyperlink>
      <w:r>
        <w:t xml:space="preserve"> </w:t>
      </w:r>
      <w:r>
        <w:br/>
      </w:r>
      <w:hyperlink r:id="rId21" w:history="1">
        <w:r w:rsidRPr="005117FC">
          <w:rPr>
            <w:rStyle w:val="Hyperlink"/>
          </w:rPr>
          <w:t>https://www.thelancet.com/journals/langlo/article/PIIS2214-109X(22)00003-1/fulltext</w:t>
        </w:r>
      </w:hyperlink>
      <w:r>
        <w:t xml:space="preserve"> </w:t>
      </w:r>
      <w:r>
        <w:br/>
      </w:r>
      <w:hyperlink r:id="rId22" w:history="1">
        <w:r w:rsidRPr="005117FC">
          <w:rPr>
            <w:rStyle w:val="Hyperlink"/>
          </w:rPr>
          <w:t>https://www.thelancet.com/journals/langlo/article/PIIS2214-109X(21)00592-1/fulltext</w:t>
        </w:r>
      </w:hyperlink>
      <w:r>
        <w:t xml:space="preserve"> </w:t>
      </w:r>
      <w:r>
        <w:br/>
      </w:r>
      <w:hyperlink r:id="rId23" w:history="1">
        <w:r w:rsidRPr="005117FC">
          <w:rPr>
            <w:rStyle w:val="Hyperlink"/>
          </w:rPr>
          <w:t>https://www.thelancet.com/journals/langlo/article/PIIS2214-109X(21)00590-8/fulltext</w:t>
        </w:r>
      </w:hyperlink>
      <w:r>
        <w:t xml:space="preserve"> </w:t>
      </w:r>
    </w:p>
    <w:p w:rsidR="006A1B1D" w:rsidRDefault="006A1B1D" w:rsidP="006A1B1D">
      <w:pPr>
        <w:spacing w:before="200"/>
        <w:rPr>
          <w:rFonts w:eastAsiaTheme="minorEastAsia"/>
        </w:rPr>
      </w:pPr>
    </w:p>
    <w:p w:rsidR="006A1B1D" w:rsidRDefault="006A1B1D" w:rsidP="006A1B1D">
      <w:pPr>
        <w:pBdr>
          <w:top w:val="single" w:sz="6" w:space="2" w:color="D4802C"/>
          <w:left w:val="single" w:sz="6" w:space="2" w:color="D4802C"/>
        </w:pBdr>
        <w:spacing w:before="300"/>
        <w:outlineLvl w:val="2"/>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Pr="006A1B1D">
        <w:rPr>
          <w:rFonts w:eastAsiaTheme="minorEastAsia"/>
          <w:caps/>
          <w:spacing w:val="15"/>
        </w:rPr>
        <w:t>Extracorporeal membrane oxygenation in children with COVID-19 and PIMS-TS during the second and third wave</w:t>
      </w:r>
      <w:r>
        <w:rPr>
          <w:rFonts w:eastAsiaTheme="minorEastAsia"/>
          <w:caps/>
          <w:spacing w:val="15"/>
        </w:rPr>
        <w:t xml:space="preserve"> [correspondence]</w:t>
      </w:r>
      <w:r>
        <w:rPr>
          <w:rFonts w:eastAsiaTheme="minorEastAsia"/>
          <w:caps/>
          <w:spacing w:val="15"/>
        </w:rPr>
        <w:br/>
      </w:r>
      <w:r>
        <w:rPr>
          <w:rFonts w:eastAsiaTheme="minorEastAsia"/>
          <w:caps/>
          <w:spacing w:val="15"/>
        </w:rPr>
        <w:br/>
      </w:r>
      <w:r>
        <w:rPr>
          <w:rFonts w:eastAsiaTheme="minorEastAsia"/>
          <w:caps/>
          <w:spacing w:val="15"/>
        </w:rPr>
        <w:t>the lancet child &amp; adolescent health</w:t>
      </w:r>
      <w:r>
        <w:rPr>
          <w:rFonts w:eastAsiaTheme="minorEastAsia"/>
          <w:caps/>
          <w:spacing w:val="15"/>
        </w:rPr>
        <w:t xml:space="preserve"> | 3</w:t>
      </w:r>
      <w:r w:rsidRPr="006A1B1D">
        <w:rPr>
          <w:rFonts w:eastAsiaTheme="minorEastAsia"/>
          <w:caps/>
          <w:spacing w:val="15"/>
          <w:vertAlign w:val="superscript"/>
        </w:rPr>
        <w:t>rd</w:t>
      </w:r>
      <w:r>
        <w:rPr>
          <w:rFonts w:eastAsiaTheme="minorEastAsia"/>
          <w:caps/>
          <w:spacing w:val="15"/>
        </w:rPr>
        <w:t xml:space="preserve"> m</w:t>
      </w:r>
      <w:r>
        <w:rPr>
          <w:rFonts w:eastAsiaTheme="minorEastAsia"/>
          <w:spacing w:val="15"/>
        </w:rPr>
        <w:t xml:space="preserve">ARCH </w:t>
      </w:r>
      <w:r>
        <w:rPr>
          <w:rFonts w:eastAsiaTheme="minorEastAsia"/>
          <w:caps/>
          <w:spacing w:val="15"/>
        </w:rPr>
        <w:t>2022</w:t>
      </w:r>
      <w:r>
        <w:rPr>
          <w:rFonts w:eastAsiaTheme="minorEastAsia"/>
          <w:caps/>
          <w:spacing w:val="15"/>
        </w:rPr>
        <w:br/>
      </w:r>
      <w:r w:rsidR="0061137C">
        <w:br/>
      </w:r>
      <w:r>
        <w:t>During the first wave of the COVID-19 pandemic, the European Extracorporeal Life Support Organization (ELSO) established a prospective survey1</w:t>
      </w:r>
      <w:r>
        <w:t xml:space="preserve"> </w:t>
      </w:r>
      <w:r>
        <w:t>including 52 European neonatal and paediatric centres and reported the use of extracorporeal membrane oxygenation (ECMO) in seven children with acute respiratory distress syndrome (ARDS) related to COVID-19 and paediatric multisystem inflammatory syndrome temporally associated with SARS-CoV-2 (PIMS-TS; also known as multisystem inflammatory syndrome in children). All European neonatal and paediatric ECMO centres affiliated with ELSO were included in the survey. Non-ELSO centres were also invited and included as representation for neonatal and paediatric ECMO centres in their respective country. The study was approved by the Maastricht University Ethical Committee (the coordinating centre) and registered at ClinicalTrials.gov (NCT04366921). Data were collected once per week and were reported as anonymised and deidentified using password-protected datasheets, and hence individual parent and patient consent was waived.</w:t>
      </w:r>
    </w:p>
    <w:p w:rsidR="006A1B1D" w:rsidRDefault="006A1B1D" w:rsidP="006A1B1D">
      <w:pPr>
        <w:pBdr>
          <w:top w:val="single" w:sz="6" w:space="2" w:color="D4802C"/>
          <w:left w:val="single" w:sz="6" w:space="2" w:color="D4802C"/>
        </w:pBdr>
        <w:spacing w:before="300"/>
        <w:outlineLvl w:val="2"/>
      </w:pPr>
      <w:r>
        <w:t xml:space="preserve">This survey </w:t>
      </w:r>
      <w:r>
        <w:t xml:space="preserve"> highlighted the low use of ECMO in children compared with adults2</w:t>
      </w:r>
      <w:r>
        <w:t xml:space="preserve"> </w:t>
      </w:r>
      <w:r>
        <w:t xml:space="preserve"> 3</w:t>
      </w:r>
      <w:r>
        <w:t xml:space="preserve"> </w:t>
      </w:r>
      <w:r>
        <w:t xml:space="preserve"> (seven children vs 1531 adults), with similar survival to hospital discharge rates (57%</w:t>
      </w:r>
      <w:r w:rsidR="001B3852">
        <w:t xml:space="preserve"> in children vs 55% in adults). </w:t>
      </w:r>
      <w:r>
        <w:t>The survey continued to capture contemporaneous data on ECMO use during the second and third waves of the pandemic, which we report now.</w:t>
      </w:r>
      <w:r>
        <w:br/>
      </w:r>
      <w:hyperlink r:id="rId24" w:history="1">
        <w:r w:rsidRPr="005117FC">
          <w:rPr>
            <w:rStyle w:val="Hyperlink"/>
          </w:rPr>
          <w:t>https://www.thelancet.com/journals/lanchi/article/PIIS235</w:t>
        </w:r>
        <w:r w:rsidRPr="005117FC">
          <w:rPr>
            <w:rStyle w:val="Hyperlink"/>
          </w:rPr>
          <w:t>2</w:t>
        </w:r>
        <w:r w:rsidRPr="005117FC">
          <w:rPr>
            <w:rStyle w:val="Hyperlink"/>
          </w:rPr>
          <w:t>-4642(22)00065-7/fulltext</w:t>
        </w:r>
      </w:hyperlink>
      <w:r>
        <w:t xml:space="preserve"> </w:t>
      </w:r>
    </w:p>
    <w:p w:rsidR="006A1B1D" w:rsidRDefault="006A1B1D" w:rsidP="006A1B1D">
      <w:pPr>
        <w:spacing w:before="200"/>
        <w:rPr>
          <w:rFonts w:eastAsiaTheme="minorEastAsia"/>
        </w:rPr>
      </w:pPr>
    </w:p>
    <w:p w:rsidR="00775293" w:rsidRDefault="00775293" w:rsidP="0024067F">
      <w:pPr>
        <w:spacing w:before="200"/>
        <w:rPr>
          <w:rFonts w:eastAsiaTheme="minorEastAsia"/>
        </w:rPr>
      </w:pPr>
    </w:p>
    <w:p w:rsidR="0024067F" w:rsidRPr="00627D72" w:rsidRDefault="0024067F" w:rsidP="0024067F">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
          <w:bCs/>
          <w:caps/>
          <w:color w:val="FFFFFF" w:themeColor="background1"/>
          <w:spacing w:val="15"/>
        </w:rPr>
      </w:pPr>
      <w:r>
        <w:rPr>
          <w:rFonts w:ascii="Dotum" w:eastAsiaTheme="minorEastAsia" w:hAnsi="Dotum"/>
          <w:b/>
          <w:bCs/>
          <w:caps/>
          <w:color w:val="FFFFFF" w:themeColor="background1"/>
          <w:spacing w:val="15"/>
        </w:rPr>
        <w:t xml:space="preserve">VACCINATION </w:t>
      </w:r>
      <w:r w:rsidR="008B4670">
        <w:rPr>
          <w:rFonts w:ascii="Dotum" w:eastAsiaTheme="minorEastAsia" w:hAnsi="Dotum"/>
          <w:b/>
          <w:bCs/>
          <w:caps/>
          <w:color w:val="FFFFFF" w:themeColor="background1"/>
          <w:spacing w:val="15"/>
        </w:rPr>
        <w:t>&amp;</w:t>
      </w:r>
      <w:r w:rsidR="006B785A">
        <w:rPr>
          <w:rFonts w:ascii="Dotum" w:eastAsiaTheme="minorEastAsia" w:hAnsi="Dotum"/>
          <w:b/>
          <w:bCs/>
          <w:caps/>
          <w:color w:val="FFFFFF" w:themeColor="background1"/>
          <w:spacing w:val="15"/>
        </w:rPr>
        <w:t xml:space="preserve"> infection control</w:t>
      </w:r>
    </w:p>
    <w:p w:rsidR="00D3369F" w:rsidRPr="00D3369F" w:rsidRDefault="00016DB5" w:rsidP="00D3369F">
      <w:pPr>
        <w:pBdr>
          <w:top w:val="single" w:sz="6" w:space="2" w:color="D4802C"/>
          <w:left w:val="single" w:sz="6" w:space="2" w:color="D4802C"/>
        </w:pBdr>
        <w:spacing w:before="300"/>
        <w:outlineLvl w:val="2"/>
        <w:rPr>
          <w:rFonts w:eastAsiaTheme="minorEastAsia"/>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D3369F" w:rsidRPr="00D3369F">
        <w:rPr>
          <w:rFonts w:eastAsiaTheme="minorEastAsia"/>
          <w:caps/>
          <w:spacing w:val="15"/>
        </w:rPr>
        <w:t>Efficacy of covid-19 vaccines in immunocompromised patients: systematic review and meta-analysis</w:t>
      </w:r>
      <w:r w:rsidR="00D3369F">
        <w:rPr>
          <w:rFonts w:eastAsiaTheme="minorEastAsia"/>
          <w:caps/>
          <w:spacing w:val="15"/>
        </w:rPr>
        <w:br/>
      </w:r>
      <w:r w:rsidR="00D3369F">
        <w:rPr>
          <w:rFonts w:eastAsiaTheme="minorEastAsia"/>
          <w:caps/>
          <w:spacing w:val="15"/>
        </w:rPr>
        <w:br/>
        <w:t>bmj</w:t>
      </w:r>
      <w:r>
        <w:rPr>
          <w:rFonts w:eastAsiaTheme="minorEastAsia"/>
          <w:caps/>
          <w:spacing w:val="15"/>
        </w:rPr>
        <w:t xml:space="preserve"> |</w:t>
      </w:r>
      <w:r w:rsidR="00D3369F">
        <w:rPr>
          <w:rFonts w:eastAsiaTheme="minorEastAsia"/>
          <w:caps/>
          <w:spacing w:val="15"/>
        </w:rPr>
        <w:t>2</w:t>
      </w:r>
      <w:r w:rsidR="00D3369F" w:rsidRPr="00D3369F">
        <w:rPr>
          <w:rFonts w:eastAsiaTheme="minorEastAsia"/>
          <w:caps/>
          <w:spacing w:val="15"/>
          <w:vertAlign w:val="superscript"/>
        </w:rPr>
        <w:t>nd</w:t>
      </w:r>
      <w:r w:rsidR="00D3369F">
        <w:rPr>
          <w:rFonts w:eastAsiaTheme="minorEastAsia"/>
          <w:caps/>
          <w:spacing w:val="15"/>
        </w:rPr>
        <w:t xml:space="preserve"> march</w:t>
      </w:r>
      <w:r>
        <w:rPr>
          <w:rFonts w:eastAsiaTheme="minorEastAsia"/>
          <w:caps/>
          <w:spacing w:val="15"/>
        </w:rPr>
        <w:t xml:space="preserve"> 2022</w:t>
      </w:r>
      <w:r w:rsidR="008779F1">
        <w:rPr>
          <w:rFonts w:eastAsiaTheme="minorEastAsia"/>
          <w:caps/>
          <w:spacing w:val="15"/>
        </w:rPr>
        <w:br/>
      </w:r>
      <w:r w:rsidR="008779F1">
        <w:rPr>
          <w:rFonts w:eastAsiaTheme="minorEastAsia"/>
          <w:caps/>
          <w:spacing w:val="15"/>
        </w:rPr>
        <w:br/>
      </w:r>
      <w:r w:rsidR="00D3369F" w:rsidRPr="00D3369F">
        <w:rPr>
          <w:rFonts w:eastAsiaTheme="minorEastAsia"/>
        </w:rPr>
        <w:t>Objective To compare the efficacy of covid-19 vaccines between immunocompromised and immunocompetent people.</w:t>
      </w:r>
    </w:p>
    <w:p w:rsidR="00D3369F" w:rsidRPr="00D3369F" w:rsidRDefault="00D3369F" w:rsidP="00D3369F">
      <w:pPr>
        <w:pBdr>
          <w:top w:val="single" w:sz="6" w:space="2" w:color="D4802C"/>
          <w:left w:val="single" w:sz="6" w:space="2" w:color="D4802C"/>
        </w:pBdr>
        <w:spacing w:before="300"/>
        <w:outlineLvl w:val="2"/>
        <w:rPr>
          <w:rFonts w:eastAsiaTheme="minorEastAsia"/>
        </w:rPr>
      </w:pPr>
      <w:r w:rsidRPr="00D3369F">
        <w:rPr>
          <w:rFonts w:eastAsiaTheme="minorEastAsia"/>
        </w:rPr>
        <w:t>Design Systematic review and meta-analysis.</w:t>
      </w:r>
      <w:r>
        <w:rPr>
          <w:rFonts w:eastAsiaTheme="minorEastAsia"/>
        </w:rPr>
        <w:t xml:space="preserve"> </w:t>
      </w:r>
    </w:p>
    <w:p w:rsidR="00D3369F" w:rsidRPr="00D3369F" w:rsidRDefault="00D3369F" w:rsidP="00D3369F">
      <w:pPr>
        <w:pBdr>
          <w:top w:val="single" w:sz="6" w:space="2" w:color="D4802C"/>
          <w:left w:val="single" w:sz="6" w:space="2" w:color="D4802C"/>
        </w:pBdr>
        <w:spacing w:before="300"/>
        <w:outlineLvl w:val="2"/>
        <w:rPr>
          <w:rFonts w:eastAsiaTheme="minorEastAsia"/>
        </w:rPr>
      </w:pPr>
      <w:r w:rsidRPr="00D3369F">
        <w:rPr>
          <w:rFonts w:eastAsiaTheme="minorEastAsia"/>
        </w:rPr>
        <w:lastRenderedPageBreak/>
        <w:t>Data sources PubMed, Embase, Central Register of Controlled Trials, COVID-19 Open Research Dataset Challenge (CORD-19), and WHO covid-19 databases for studies published between 1 December 2020 and 5 November 2021. ClinicalTrials.gov and the WHO International Clinical Trials Registry Platform were searched in November 2021 to identify registered but as yet unpublished or ongoing studies.</w:t>
      </w:r>
    </w:p>
    <w:p w:rsidR="00D3369F" w:rsidRPr="00D3369F" w:rsidRDefault="00D3369F" w:rsidP="00D3369F">
      <w:pPr>
        <w:pBdr>
          <w:top w:val="single" w:sz="6" w:space="2" w:color="D4802C"/>
          <w:left w:val="single" w:sz="6" w:space="2" w:color="D4802C"/>
        </w:pBdr>
        <w:spacing w:before="300"/>
        <w:outlineLvl w:val="2"/>
        <w:rPr>
          <w:rFonts w:eastAsiaTheme="minorEastAsia"/>
        </w:rPr>
      </w:pPr>
      <w:r w:rsidRPr="00D3369F">
        <w:rPr>
          <w:rFonts w:eastAsiaTheme="minorEastAsia"/>
        </w:rPr>
        <w:t>Study selection Prospective observational studies comparing the efficacy of covid-19 vaccination in immunocompromised and immunocompetent participants.</w:t>
      </w:r>
    </w:p>
    <w:p w:rsidR="00D3369F" w:rsidRPr="00D3369F" w:rsidRDefault="00D3369F" w:rsidP="00D3369F">
      <w:pPr>
        <w:pBdr>
          <w:top w:val="single" w:sz="6" w:space="2" w:color="D4802C"/>
          <w:left w:val="single" w:sz="6" w:space="2" w:color="D4802C"/>
        </w:pBdr>
        <w:spacing w:before="300"/>
        <w:outlineLvl w:val="2"/>
        <w:rPr>
          <w:rFonts w:eastAsiaTheme="minorEastAsia"/>
        </w:rPr>
      </w:pPr>
      <w:r w:rsidRPr="00D3369F">
        <w:rPr>
          <w:rFonts w:eastAsiaTheme="minorEastAsia"/>
        </w:rPr>
        <w:t>Methods A frequentist random effects meta-analysis was used to separately pool relative and absolute risks of seroconversion after the first and second doses of a covid-19 vaccine. Systematic review without meta-analysis of SARS-CoV-2 antibody titre levels was performed after first, second, and third vaccine doses and the seroconversion rate after a third dose. Risk of bias and certainty of evidence were assessed.</w:t>
      </w:r>
    </w:p>
    <w:p w:rsidR="00D3369F" w:rsidRPr="00D3369F" w:rsidRDefault="00D3369F" w:rsidP="00D3369F">
      <w:pPr>
        <w:pBdr>
          <w:top w:val="single" w:sz="6" w:space="2" w:color="D4802C"/>
          <w:left w:val="single" w:sz="6" w:space="2" w:color="D4802C"/>
        </w:pBdr>
        <w:spacing w:before="300"/>
        <w:outlineLvl w:val="2"/>
        <w:rPr>
          <w:rFonts w:eastAsiaTheme="minorEastAsia"/>
        </w:rPr>
      </w:pPr>
      <w:r w:rsidRPr="00D3369F">
        <w:rPr>
          <w:rFonts w:eastAsiaTheme="minorEastAsia"/>
        </w:rPr>
        <w:t>Results 82 studies were included in the meta-analysis. Of these studies, 77 (94%) used mRNA vaccines, 16 (20%) viral vector vaccines, and 4 (5%) inactivated whole virus vaccines. 63 studies were assessed to be at low risk of bias and 19 at moderate risk of bias. After one vaccine dose, seroconversion was about half as likely in patients with haematological cancers (risk ratio 0.40, 95% confidence interval 0.32 to 0.50, I2=80%; absolute risk 0.29, 95% confidence interval 0.20 to 0.40, I2=89%), immune mediated inflammatory disorders (0.53, 0.39 to 0.71, I2=89%; 0.29, 0.11 to 0.58, I2=97%), and solid cancers (0.55, 0.46 to 0.65, I2=78%; 0.44, 0.36 to 0.53, I2=84%) compared with immunocompetent controls, whereas organ transplant recipients were 16 times less likely to seroconvert (0.06, 0.04 to 0.09, I2=0%; 0.06, 0.04 to 0.08, I2=0%). After a second dose, seroconversion remained least likely in transplant recipients (0.39, 0.32 to 0.46, I2=92%; 0.35, 0.26 to 0.46), with only a third achieving seroconversion. Seroconversion was increasingly likely in patients with haematological cancers (0.63, 0.57 to 0.69, I2=88%; 0.62, 0.54 to 0.70, I2=90%), immune mediated inflammatory disorders (0.75, 0.69 to 0.82, I2=92%; 0.77, 0.66 to 0.85, I2=93%), and solid cancers (0.90, 0.88 to 0.93, I2=51%; 0.89, 0.86 to 0.91, I2=49%). Seroconversion was similar between people with HIV and immunocompetent controls (1.00, 0.98 to 1.01, I2=0%; 0.97, 0.83 to 1.00, I2=89%). Systematic review of 11 studies showed that a third dose of a covid-19 mRNA vaccine was associated with seroconversion among vaccine non-responders with solid cancers, haematological cancers, and immune mediated inflammatory disorders, although response was variable in transplant recipients and inadequately studied in people with HIV and those receiving non-mRNA vaccines.</w:t>
      </w:r>
    </w:p>
    <w:p w:rsidR="00016DB5" w:rsidRDefault="00D3369F" w:rsidP="00D3369F">
      <w:pPr>
        <w:pBdr>
          <w:top w:val="single" w:sz="6" w:space="2" w:color="D4802C"/>
          <w:left w:val="single" w:sz="6" w:space="2" w:color="D4802C"/>
        </w:pBdr>
        <w:spacing w:before="300"/>
        <w:outlineLvl w:val="2"/>
        <w:rPr>
          <w:rFonts w:eastAsiaTheme="minorEastAsia"/>
        </w:rPr>
      </w:pPr>
      <w:r w:rsidRPr="00D3369F">
        <w:rPr>
          <w:rFonts w:eastAsiaTheme="minorEastAsia"/>
        </w:rPr>
        <w:t>Conclusion</w:t>
      </w:r>
      <w:r w:rsidR="0061137C">
        <w:rPr>
          <w:rFonts w:eastAsiaTheme="minorEastAsia"/>
        </w:rPr>
        <w:t>.</w:t>
      </w:r>
      <w:r w:rsidRPr="00D3369F">
        <w:rPr>
          <w:rFonts w:eastAsiaTheme="minorEastAsia"/>
        </w:rPr>
        <w:t xml:space="preserve"> Seroconversion rates after covid-19 vaccination were significantly lower in immunocompromised patients, especially organ transplant recipients. A second dose was associated with consistently improved seroconversion across all patient groups, albeit at a lower magnitude for organ transplant recipients. Targeted interventions for immunocompromised patients, including a third (booster) dose, should be performed.</w:t>
      </w:r>
      <w:r>
        <w:rPr>
          <w:rFonts w:eastAsiaTheme="minorEastAsia"/>
        </w:rPr>
        <w:br/>
      </w:r>
      <w:hyperlink r:id="rId25" w:history="1">
        <w:r w:rsidRPr="005117FC">
          <w:rPr>
            <w:rStyle w:val="Hyperlink"/>
            <w:rFonts w:eastAsiaTheme="minorEastAsia"/>
          </w:rPr>
          <w:t>https://www.bmj.com/content/376/bmj-2021-068632</w:t>
        </w:r>
      </w:hyperlink>
      <w:r>
        <w:rPr>
          <w:rFonts w:eastAsiaTheme="minorEastAsia"/>
        </w:rPr>
        <w:t xml:space="preserve"> </w:t>
      </w:r>
    </w:p>
    <w:p w:rsidR="0024067F" w:rsidRDefault="0024067F" w:rsidP="0024067F">
      <w:pPr>
        <w:spacing w:before="200"/>
        <w:rPr>
          <w:rFonts w:eastAsiaTheme="minorEastAsia"/>
        </w:rPr>
      </w:pPr>
    </w:p>
    <w:p w:rsidR="00147534" w:rsidRDefault="00147534" w:rsidP="00147534">
      <w:pPr>
        <w:pBdr>
          <w:top w:val="single" w:sz="6" w:space="2" w:color="D4802C"/>
          <w:left w:val="single" w:sz="6" w:space="2" w:color="D4802C"/>
        </w:pBdr>
        <w:spacing w:before="300"/>
        <w:outlineLvl w:val="2"/>
        <w:rPr>
          <w:rFonts w:eastAsiaTheme="minorEastAsia"/>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D3369F" w:rsidRPr="00D3369F">
        <w:rPr>
          <w:rFonts w:eastAsiaTheme="minorEastAsia"/>
          <w:caps/>
          <w:spacing w:val="15"/>
        </w:rPr>
        <w:t>Assessment of Clinical Effectiveness of BNT162b2 COVID-19 Vaccine in US Adolescents</w:t>
      </w:r>
      <w:r>
        <w:rPr>
          <w:rFonts w:eastAsiaTheme="minorEastAsia"/>
          <w:caps/>
          <w:spacing w:val="15"/>
        </w:rPr>
        <w:br/>
      </w:r>
      <w:r>
        <w:rPr>
          <w:rFonts w:eastAsiaTheme="minorEastAsia"/>
          <w:caps/>
          <w:spacing w:val="15"/>
        </w:rPr>
        <w:br/>
      </w:r>
      <w:r w:rsidR="00D3369F">
        <w:rPr>
          <w:rFonts w:eastAsiaTheme="minorEastAsia"/>
          <w:caps/>
          <w:spacing w:val="15"/>
        </w:rPr>
        <w:t>jama| 3</w:t>
      </w:r>
      <w:r w:rsidR="00D3369F" w:rsidRPr="00D3369F">
        <w:rPr>
          <w:rFonts w:eastAsiaTheme="minorEastAsia"/>
          <w:caps/>
          <w:spacing w:val="15"/>
          <w:vertAlign w:val="superscript"/>
        </w:rPr>
        <w:t>rd</w:t>
      </w:r>
      <w:r w:rsidR="00D3369F">
        <w:rPr>
          <w:rFonts w:eastAsiaTheme="minorEastAsia"/>
          <w:caps/>
          <w:spacing w:val="15"/>
        </w:rPr>
        <w:t xml:space="preserve"> march</w:t>
      </w:r>
      <w:r>
        <w:rPr>
          <w:rFonts w:eastAsiaTheme="minorEastAsia"/>
          <w:caps/>
          <w:spacing w:val="15"/>
        </w:rPr>
        <w:t xml:space="preserve"> 2022</w:t>
      </w:r>
    </w:p>
    <w:p w:rsidR="00D3369F" w:rsidRPr="00D3369F" w:rsidRDefault="00D3369F" w:rsidP="00D3369F">
      <w:pPr>
        <w:pBdr>
          <w:top w:val="single" w:sz="6" w:space="2" w:color="D4802C"/>
          <w:left w:val="single" w:sz="6" w:space="2" w:color="D4802C"/>
        </w:pBdr>
        <w:spacing w:before="300"/>
        <w:outlineLvl w:val="2"/>
        <w:rPr>
          <w:rFonts w:cstheme="minorHAnsi"/>
          <w:color w:val="505050"/>
          <w:shd w:val="clear" w:color="auto" w:fill="FFFFFF"/>
        </w:rPr>
      </w:pPr>
      <w:r w:rsidRPr="00D3369F">
        <w:rPr>
          <w:rFonts w:cstheme="minorHAnsi"/>
          <w:color w:val="505050"/>
          <w:shd w:val="clear" w:color="auto" w:fill="FFFFFF"/>
        </w:rPr>
        <w:t>Question  What is the association between the BNT162b2 COVID-19 vaccine and SARS-CoV-2 positivity among adolescents?</w:t>
      </w:r>
    </w:p>
    <w:p w:rsidR="00D3369F" w:rsidRPr="00D3369F" w:rsidRDefault="00D3369F" w:rsidP="00D3369F">
      <w:pPr>
        <w:pBdr>
          <w:top w:val="single" w:sz="6" w:space="2" w:color="D4802C"/>
          <w:left w:val="single" w:sz="6" w:space="2" w:color="D4802C"/>
        </w:pBdr>
        <w:spacing w:before="300"/>
        <w:outlineLvl w:val="2"/>
        <w:rPr>
          <w:rFonts w:cstheme="minorHAnsi"/>
          <w:color w:val="505050"/>
          <w:shd w:val="clear" w:color="auto" w:fill="FFFFFF"/>
        </w:rPr>
      </w:pPr>
      <w:r w:rsidRPr="00D3369F">
        <w:rPr>
          <w:rFonts w:cstheme="minorHAnsi"/>
          <w:color w:val="505050"/>
          <w:shd w:val="clear" w:color="auto" w:fill="FFFFFF"/>
        </w:rPr>
        <w:t>Findings  This case-control study of 542 adolescents was conducted when the Delta variant of SARS-CoV-2 was predominant and within 4 months of the vaccine rollout for adolescents. Overall, the estimated effectiveness of the BNT162b2 vaccine was 91%, with 93% protection against symptomatic infections and 85% effectiveness against asymptomatic infection.</w:t>
      </w:r>
    </w:p>
    <w:p w:rsidR="00D3369F" w:rsidRDefault="00D3369F" w:rsidP="00147534">
      <w:pPr>
        <w:pBdr>
          <w:top w:val="single" w:sz="6" w:space="2" w:color="D4802C"/>
          <w:left w:val="single" w:sz="6" w:space="2" w:color="D4802C"/>
        </w:pBdr>
        <w:spacing w:before="300"/>
        <w:outlineLvl w:val="2"/>
        <w:rPr>
          <w:rFonts w:cstheme="minorHAnsi"/>
          <w:color w:val="505050"/>
          <w:shd w:val="clear" w:color="auto" w:fill="FFFFFF"/>
        </w:rPr>
      </w:pPr>
      <w:r w:rsidRPr="00D3369F">
        <w:rPr>
          <w:rFonts w:cstheme="minorHAnsi"/>
          <w:color w:val="505050"/>
          <w:shd w:val="clear" w:color="auto" w:fill="FFFFFF"/>
        </w:rPr>
        <w:t>Meaning  These findings suggest that the BNT162b2 vaccine was effective in adolescents within 4 months of immunization, including against infections caused by the Delta variant.</w:t>
      </w:r>
      <w:r w:rsidR="001B3852">
        <w:rPr>
          <w:rFonts w:cstheme="minorHAnsi"/>
          <w:color w:val="505050"/>
          <w:shd w:val="clear" w:color="auto" w:fill="FFFFFF"/>
        </w:rPr>
        <w:br/>
      </w:r>
      <w:hyperlink r:id="rId26" w:history="1">
        <w:r w:rsidRPr="005117FC">
          <w:rPr>
            <w:rStyle w:val="Hyperlink"/>
            <w:rFonts w:cstheme="minorHAnsi"/>
            <w:shd w:val="clear" w:color="auto" w:fill="FFFFFF"/>
          </w:rPr>
          <w:t>https://jamanetwork.com/journals/jamanetworkopen/fullarticle/2789579</w:t>
        </w:r>
      </w:hyperlink>
      <w:r>
        <w:rPr>
          <w:rFonts w:cstheme="minorHAnsi"/>
          <w:color w:val="505050"/>
          <w:shd w:val="clear" w:color="auto" w:fill="FFFFFF"/>
        </w:rPr>
        <w:t xml:space="preserve"> </w:t>
      </w:r>
    </w:p>
    <w:p w:rsidR="00147534" w:rsidRDefault="00147534" w:rsidP="0024067F">
      <w:pPr>
        <w:spacing w:before="200"/>
        <w:rPr>
          <w:rFonts w:eastAsiaTheme="minorEastAsia"/>
        </w:rPr>
      </w:pPr>
    </w:p>
    <w:p w:rsidR="00147534" w:rsidRPr="008B4670" w:rsidRDefault="00147534" w:rsidP="00147534">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D3369F" w:rsidRPr="00D3369F">
        <w:rPr>
          <w:rFonts w:eastAsiaTheme="minorEastAsia"/>
          <w:caps/>
          <w:spacing w:val="15"/>
        </w:rPr>
        <w:t>Revoking Vaccination As A Condition Of Deployment Across All Health And Social Care: Consultation Response</w:t>
      </w:r>
    </w:p>
    <w:p w:rsidR="00D3369F" w:rsidRPr="00D3369F" w:rsidRDefault="00D3369F" w:rsidP="00D3369F">
      <w:pPr>
        <w:pBdr>
          <w:top w:val="single" w:sz="6" w:space="2" w:color="D4802C"/>
          <w:left w:val="single" w:sz="6" w:space="2" w:color="D4802C"/>
        </w:pBdr>
        <w:spacing w:before="300"/>
        <w:outlineLvl w:val="2"/>
        <w:rPr>
          <w:rFonts w:cstheme="minorHAnsi"/>
          <w:color w:val="505050"/>
          <w:shd w:val="clear" w:color="auto" w:fill="FFFFFF"/>
        </w:rPr>
      </w:pPr>
      <w:r w:rsidRPr="00D3369F">
        <w:rPr>
          <w:rFonts w:eastAsiaTheme="minorEastAsia"/>
          <w:caps/>
          <w:spacing w:val="15"/>
        </w:rPr>
        <w:t xml:space="preserve">Department of Health and Social Care </w:t>
      </w:r>
      <w:r>
        <w:rPr>
          <w:rFonts w:eastAsiaTheme="minorEastAsia"/>
          <w:caps/>
          <w:spacing w:val="15"/>
        </w:rPr>
        <w:t>| 2</w:t>
      </w:r>
      <w:r w:rsidRPr="00D3369F">
        <w:rPr>
          <w:rFonts w:eastAsiaTheme="minorEastAsia"/>
          <w:caps/>
          <w:spacing w:val="15"/>
          <w:vertAlign w:val="superscript"/>
        </w:rPr>
        <w:t>nd</w:t>
      </w:r>
      <w:r>
        <w:rPr>
          <w:rFonts w:eastAsiaTheme="minorEastAsia"/>
          <w:caps/>
          <w:spacing w:val="15"/>
        </w:rPr>
        <w:t xml:space="preserve"> march </w:t>
      </w:r>
      <w:r w:rsidR="00147534">
        <w:rPr>
          <w:rFonts w:eastAsiaTheme="minorEastAsia"/>
          <w:caps/>
          <w:spacing w:val="15"/>
        </w:rPr>
        <w:t xml:space="preserve"> 2022</w:t>
      </w:r>
      <w:r w:rsidR="00147534">
        <w:rPr>
          <w:rFonts w:eastAsiaTheme="minorEastAsia"/>
          <w:caps/>
          <w:spacing w:val="15"/>
        </w:rPr>
        <w:br/>
      </w:r>
      <w:r w:rsidR="00147534">
        <w:rPr>
          <w:rFonts w:eastAsiaTheme="minorEastAsia"/>
          <w:caps/>
          <w:spacing w:val="15"/>
        </w:rPr>
        <w:br/>
      </w:r>
      <w:r w:rsidRPr="00D3369F">
        <w:rPr>
          <w:rFonts w:cstheme="minorHAnsi"/>
          <w:color w:val="505050"/>
          <w:shd w:val="clear" w:color="auto" w:fill="FFFFFF"/>
        </w:rPr>
        <w:t>The government conducted a public consultation from 9 to 16 February 2022 on whether to revoke provisions which require Covid-19 vaccination as a condition of deployment in health and social care settings. This is the formal government response to that consultation. The government’s response confirms that they intend to proceed with bringing forward regulations to revoke vaccination as a condition of deployment.</w:t>
      </w:r>
    </w:p>
    <w:p w:rsidR="00147534" w:rsidRPr="003C6AF4" w:rsidRDefault="00D3369F" w:rsidP="00D3369F">
      <w:pPr>
        <w:pBdr>
          <w:top w:val="single" w:sz="6" w:space="2" w:color="D4802C"/>
          <w:left w:val="single" w:sz="6" w:space="2" w:color="D4802C"/>
        </w:pBdr>
        <w:spacing w:before="300"/>
        <w:outlineLvl w:val="2"/>
        <w:rPr>
          <w:rFonts w:eastAsiaTheme="minorEastAsia" w:cstheme="minorHAnsi"/>
        </w:rPr>
      </w:pPr>
      <w:r w:rsidRPr="00D3369F">
        <w:rPr>
          <w:rFonts w:cstheme="minorHAnsi"/>
          <w:color w:val="505050"/>
          <w:shd w:val="clear" w:color="auto" w:fill="FFFFFF"/>
        </w:rPr>
        <w:t>•</w:t>
      </w:r>
      <w:r w:rsidRPr="00D3369F">
        <w:rPr>
          <w:rFonts w:cstheme="minorHAnsi"/>
          <w:color w:val="505050"/>
          <w:shd w:val="clear" w:color="auto" w:fill="FFFFFF"/>
        </w:rPr>
        <w:tab/>
      </w:r>
      <w:hyperlink r:id="rId27" w:history="1">
        <w:r w:rsidRPr="00D3369F">
          <w:rPr>
            <w:rStyle w:val="Hyperlink"/>
            <w:rFonts w:cstheme="minorHAnsi"/>
            <w:shd w:val="clear" w:color="auto" w:fill="FFFFFF"/>
          </w:rPr>
          <w:t>Consultation response</w:t>
        </w:r>
      </w:hyperlink>
      <w:r>
        <w:rPr>
          <w:rFonts w:cstheme="minorHAnsi"/>
          <w:color w:val="505050"/>
          <w:shd w:val="clear" w:color="auto" w:fill="FFFFFF"/>
        </w:rPr>
        <w:br/>
      </w:r>
      <w:r w:rsidRPr="00D3369F">
        <w:rPr>
          <w:rFonts w:cstheme="minorHAnsi"/>
          <w:color w:val="505050"/>
          <w:shd w:val="clear" w:color="auto" w:fill="FFFFFF"/>
        </w:rPr>
        <w:t>•</w:t>
      </w:r>
      <w:r w:rsidRPr="00D3369F">
        <w:rPr>
          <w:rFonts w:cstheme="minorHAnsi"/>
          <w:color w:val="505050"/>
          <w:shd w:val="clear" w:color="auto" w:fill="FFFFFF"/>
        </w:rPr>
        <w:tab/>
      </w:r>
      <w:hyperlink r:id="rId28" w:history="1">
        <w:r w:rsidRPr="00D3369F">
          <w:rPr>
            <w:rStyle w:val="Hyperlink"/>
            <w:rFonts w:cstheme="minorHAnsi"/>
            <w:shd w:val="clear" w:color="auto" w:fill="FFFFFF"/>
          </w:rPr>
          <w:t>Department of Health and Social Care - consultations</w:t>
        </w:r>
      </w:hyperlink>
    </w:p>
    <w:p w:rsidR="00147534" w:rsidRDefault="00147534" w:rsidP="0024067F">
      <w:pPr>
        <w:spacing w:before="200"/>
        <w:rPr>
          <w:rFonts w:eastAsiaTheme="minorEastAsia"/>
        </w:rPr>
      </w:pPr>
    </w:p>
    <w:p w:rsidR="00F34850" w:rsidRPr="00F34850" w:rsidRDefault="008779F1" w:rsidP="00F34850">
      <w:pPr>
        <w:pBdr>
          <w:top w:val="single" w:sz="6" w:space="2" w:color="D4802C"/>
          <w:left w:val="single" w:sz="6" w:space="2" w:color="D4802C"/>
        </w:pBdr>
        <w:spacing w:before="300"/>
        <w:outlineLvl w:val="2"/>
        <w:rPr>
          <w:rFonts w:cstheme="minorHAnsi"/>
          <w:color w:val="000000"/>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F34850" w:rsidRPr="00F34850">
        <w:rPr>
          <w:rFonts w:eastAsiaTheme="minorEastAsia"/>
          <w:caps/>
          <w:spacing w:val="15"/>
        </w:rPr>
        <w:t>Covid-19 Vaccine Effectiveness against the Omicron (B.1.1.529) Variant</w:t>
      </w:r>
      <w:r w:rsidR="00F34850">
        <w:rPr>
          <w:rFonts w:eastAsiaTheme="minorEastAsia"/>
          <w:caps/>
          <w:spacing w:val="15"/>
        </w:rPr>
        <w:br/>
      </w:r>
      <w:r w:rsidR="00F34850">
        <w:rPr>
          <w:rFonts w:eastAsiaTheme="minorEastAsia"/>
          <w:caps/>
          <w:spacing w:val="15"/>
        </w:rPr>
        <w:br/>
        <w:t>nejm | 2</w:t>
      </w:r>
      <w:r w:rsidR="00F34850" w:rsidRPr="00F34850">
        <w:rPr>
          <w:rFonts w:eastAsiaTheme="minorEastAsia"/>
          <w:caps/>
          <w:spacing w:val="15"/>
          <w:vertAlign w:val="superscript"/>
        </w:rPr>
        <w:t>nd</w:t>
      </w:r>
      <w:r w:rsidR="00F34850">
        <w:rPr>
          <w:rFonts w:eastAsiaTheme="minorEastAsia"/>
          <w:caps/>
          <w:spacing w:val="15"/>
        </w:rPr>
        <w:t xml:space="preserve"> march</w:t>
      </w:r>
      <w:r>
        <w:rPr>
          <w:rFonts w:eastAsiaTheme="minorEastAsia"/>
          <w:caps/>
          <w:spacing w:val="15"/>
        </w:rPr>
        <w:t xml:space="preserve"> 2022</w:t>
      </w:r>
      <w:r>
        <w:rPr>
          <w:rFonts w:eastAsiaTheme="minorEastAsia"/>
          <w:caps/>
          <w:spacing w:val="15"/>
        </w:rPr>
        <w:br/>
      </w:r>
      <w:r>
        <w:rPr>
          <w:rFonts w:eastAsiaTheme="minorEastAsia"/>
          <w:caps/>
          <w:spacing w:val="15"/>
        </w:rPr>
        <w:br/>
      </w:r>
      <w:r w:rsidR="00F34850" w:rsidRPr="00F34850">
        <w:rPr>
          <w:rFonts w:cstheme="minorHAnsi"/>
          <w:color w:val="000000"/>
        </w:rPr>
        <w:t>Background</w:t>
      </w:r>
      <w:r w:rsidR="001B3852">
        <w:rPr>
          <w:rFonts w:cstheme="minorHAnsi"/>
          <w:color w:val="000000"/>
        </w:rPr>
        <w:t xml:space="preserve">. </w:t>
      </w:r>
      <w:r w:rsidR="00F34850" w:rsidRPr="00F34850">
        <w:rPr>
          <w:rFonts w:cstheme="minorHAnsi"/>
          <w:color w:val="000000"/>
        </w:rPr>
        <w:t xml:space="preserve">A rapid increase in coronavirus disease 2019 (Covid-19) cases due to the omicron </w:t>
      </w:r>
      <w:r w:rsidR="00F34850" w:rsidRPr="00F34850">
        <w:rPr>
          <w:rFonts w:cstheme="minorHAnsi"/>
          <w:color w:val="000000"/>
        </w:rPr>
        <w:lastRenderedPageBreak/>
        <w:t>(B.1.1.529) variant of severe acute respiratory syndrome coronavirus 2 in highly vaccinated populations has aroused concerns about the effectiveness of current vaccines.</w:t>
      </w:r>
    </w:p>
    <w:p w:rsidR="00F34850" w:rsidRPr="00F34850" w:rsidRDefault="00F34850" w:rsidP="00F34850">
      <w:pPr>
        <w:pBdr>
          <w:top w:val="single" w:sz="6" w:space="2" w:color="D4802C"/>
          <w:left w:val="single" w:sz="6" w:space="2" w:color="D4802C"/>
        </w:pBdr>
        <w:spacing w:before="300"/>
        <w:outlineLvl w:val="2"/>
        <w:rPr>
          <w:rFonts w:cstheme="minorHAnsi"/>
          <w:color w:val="000000"/>
        </w:rPr>
      </w:pPr>
      <w:r w:rsidRPr="00F34850">
        <w:rPr>
          <w:rFonts w:cstheme="minorHAnsi"/>
          <w:color w:val="000000"/>
        </w:rPr>
        <w:t>Methods</w:t>
      </w:r>
      <w:r w:rsidR="001B3852">
        <w:rPr>
          <w:rFonts w:cstheme="minorHAnsi"/>
          <w:color w:val="000000"/>
        </w:rPr>
        <w:t xml:space="preserve">. </w:t>
      </w:r>
      <w:r w:rsidRPr="00F34850">
        <w:rPr>
          <w:rFonts w:cstheme="minorHAnsi"/>
          <w:color w:val="000000"/>
        </w:rPr>
        <w:t>We used a test-negative case–control design to estimate vaccine effectiveness against symptomatic disease caused by the omicron and delta (B.1.617.2) variants in England. Vaccine effectiveness was calculated after primary immunization with two doses of BNT162b2 (Pfizer–BioNTech), ChAdOx1 nCoV-19 (AstraZeneca), or mRNA-1273 (Moderna) vaccine and after a booster dose of BNT162b2, ChAdOx1 nCoV-19, or mRNA-1273.</w:t>
      </w:r>
    </w:p>
    <w:p w:rsidR="00F34850" w:rsidRPr="00F34850" w:rsidRDefault="00F34850" w:rsidP="00F34850">
      <w:pPr>
        <w:pBdr>
          <w:top w:val="single" w:sz="6" w:space="2" w:color="D4802C"/>
          <w:left w:val="single" w:sz="6" w:space="2" w:color="D4802C"/>
        </w:pBdr>
        <w:spacing w:before="300"/>
        <w:outlineLvl w:val="2"/>
        <w:rPr>
          <w:rFonts w:cstheme="minorHAnsi"/>
          <w:color w:val="000000"/>
        </w:rPr>
      </w:pPr>
      <w:r w:rsidRPr="00F34850">
        <w:rPr>
          <w:rFonts w:cstheme="minorHAnsi"/>
          <w:color w:val="000000"/>
        </w:rPr>
        <w:t>Results</w:t>
      </w:r>
      <w:r w:rsidR="001B3852">
        <w:rPr>
          <w:rFonts w:cstheme="minorHAnsi"/>
          <w:color w:val="000000"/>
        </w:rPr>
        <w:t xml:space="preserve">. </w:t>
      </w:r>
      <w:r w:rsidRPr="00F34850">
        <w:rPr>
          <w:rFonts w:cstheme="minorHAnsi"/>
          <w:color w:val="000000"/>
        </w:rPr>
        <w:t>Between November 27, 2021, and January 12, 2022, a total of 886,774 eligible persons infected with the omicron variant, 204,154 eligible persons infected with the delta variant, and 1,572,621 eligible test-negative controls were identified. At all time points investigated and for all combinations of primary course and booster vaccines, vaccine effectiveness against symptomatic disease was higher for the delta variant than for the omicron variant. No effect against the omicron variant was noted from 20 weeks after two ChAdOx1 nCoV-19 doses, whereas vaccine effectiveness after two BNT162b2 doses was 65.5% (95% confidence interval [CI], 63.9 to 67.0) at 2 to 4 weeks, dropping to 8.8% (95% CI, 7.0 to 10.5) at 25 or more weeks. Among ChAdOx1 nCoV-19 primary course recipients, vaccine effectiveness increased to 62.4% (95% CI, 61.8 to 63.0) at 2 to 4 weeks after a BNT162b2 booster before decreasing to 39.6% (95% CI, 38.0 to 41.1) at 10 or more weeks. Among BNT162b2 primary course recipients, vaccine effectiveness increased to 67.2% (95% CI, 66.5 to 67.8) at 2 to 4 weeks after a BNT162b2 booster before declining to 45.7% (95% CI, 44.7 to 46.7) at 10 or more weeks. Vaccine effectiveness after a ChAdOx1 nCoV-19 primary course increased to 70.1% (95% CI, 69.5 to 70.7) at 2 to 4 weeks after an mRNA-1273 booster and decreased to 60.9% (95% CI, 59.7 to 62.1) at 5 to 9 weeks. After a BNT162b2 primary course, the mRNA-1273 booster increased vaccine effectiveness to 73.9% (95% CI, 73.1 to 74.6) at 2 to 4 weeks; vaccine effectiveness fell to 64.4% (95% CI, 62.6 to 66.1) at 5 to 9 weeks.</w:t>
      </w:r>
    </w:p>
    <w:p w:rsidR="00F34850" w:rsidRDefault="00F34850" w:rsidP="00F34850">
      <w:pPr>
        <w:pBdr>
          <w:top w:val="single" w:sz="6" w:space="2" w:color="D4802C"/>
          <w:left w:val="single" w:sz="6" w:space="2" w:color="D4802C"/>
        </w:pBdr>
        <w:spacing w:before="300"/>
        <w:outlineLvl w:val="2"/>
        <w:rPr>
          <w:rFonts w:cstheme="minorHAnsi"/>
          <w:color w:val="000000"/>
        </w:rPr>
      </w:pPr>
      <w:r w:rsidRPr="00F34850">
        <w:rPr>
          <w:rFonts w:cstheme="minorHAnsi"/>
          <w:color w:val="000000"/>
        </w:rPr>
        <w:t>Conclusions</w:t>
      </w:r>
      <w:r w:rsidR="001B3852">
        <w:rPr>
          <w:rFonts w:cstheme="minorHAnsi"/>
          <w:color w:val="000000"/>
        </w:rPr>
        <w:t xml:space="preserve">. </w:t>
      </w:r>
      <w:r w:rsidRPr="00F34850">
        <w:rPr>
          <w:rFonts w:cstheme="minorHAnsi"/>
          <w:color w:val="000000"/>
        </w:rPr>
        <w:t>Primary immunization with two doses of ChAdOx1 nCoV-19 or BNT162b2 vaccine provided limited protection against symptomatic disease caused by the omicron variant. A BNT162b2 or mRNA-1273 booster after either the ChAdOx1 nCoV-19 or BNT162b2 primary course substantially increased protection, but that protection waned over time.</w:t>
      </w:r>
      <w:r>
        <w:rPr>
          <w:rFonts w:cstheme="minorHAnsi"/>
          <w:color w:val="000000"/>
        </w:rPr>
        <w:br/>
      </w:r>
      <w:hyperlink r:id="rId29" w:history="1">
        <w:r w:rsidRPr="005117FC">
          <w:rPr>
            <w:rStyle w:val="Hyperlink"/>
            <w:rFonts w:cstheme="minorHAnsi"/>
          </w:rPr>
          <w:t>https://www.nejm.org/doi/full/10.1056/NEJMoa2119451</w:t>
        </w:r>
      </w:hyperlink>
      <w:r>
        <w:rPr>
          <w:rFonts w:cstheme="minorHAnsi"/>
          <w:color w:val="000000"/>
        </w:rPr>
        <w:t xml:space="preserve"> </w:t>
      </w:r>
    </w:p>
    <w:p w:rsidR="00C45423" w:rsidRDefault="00C45423" w:rsidP="0024067F">
      <w:pPr>
        <w:spacing w:before="200"/>
        <w:rPr>
          <w:rFonts w:eastAsiaTheme="minorEastAsia"/>
        </w:rPr>
      </w:pPr>
    </w:p>
    <w:p w:rsidR="006B785A" w:rsidRPr="008B4670" w:rsidRDefault="006B785A" w:rsidP="00F34850">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F34850" w:rsidRPr="00F34850">
        <w:rPr>
          <w:rFonts w:eastAsiaTheme="minorEastAsia"/>
          <w:caps/>
          <w:spacing w:val="15"/>
        </w:rPr>
        <w:t>UK scales back routine covid-19 surveillance</w:t>
      </w:r>
      <w:r w:rsidR="00F34850">
        <w:rPr>
          <w:rFonts w:eastAsiaTheme="minorEastAsia"/>
          <w:caps/>
          <w:spacing w:val="15"/>
        </w:rPr>
        <w:t xml:space="preserve"> [editorial]</w:t>
      </w:r>
    </w:p>
    <w:p w:rsidR="00F34850" w:rsidRPr="00F34850" w:rsidRDefault="00F34850" w:rsidP="00F34850">
      <w:pPr>
        <w:pBdr>
          <w:top w:val="single" w:sz="6" w:space="2" w:color="D4802C"/>
          <w:left w:val="single" w:sz="6" w:space="2" w:color="D4802C"/>
        </w:pBdr>
        <w:spacing w:before="300"/>
        <w:outlineLvl w:val="2"/>
        <w:rPr>
          <w:rFonts w:cstheme="minorHAnsi"/>
          <w:color w:val="505050"/>
          <w:shd w:val="clear" w:color="auto" w:fill="FFFFFF"/>
        </w:rPr>
      </w:pPr>
      <w:r>
        <w:rPr>
          <w:rFonts w:eastAsiaTheme="minorEastAsia"/>
          <w:caps/>
          <w:spacing w:val="15"/>
        </w:rPr>
        <w:t>bmj| 4</w:t>
      </w:r>
      <w:r w:rsidRPr="00F34850">
        <w:rPr>
          <w:rFonts w:eastAsiaTheme="minorEastAsia"/>
          <w:caps/>
          <w:spacing w:val="15"/>
          <w:vertAlign w:val="superscript"/>
        </w:rPr>
        <w:t>th</w:t>
      </w:r>
      <w:r>
        <w:rPr>
          <w:rFonts w:eastAsiaTheme="minorEastAsia"/>
          <w:caps/>
          <w:spacing w:val="15"/>
        </w:rPr>
        <w:t xml:space="preserve"> march</w:t>
      </w:r>
      <w:r w:rsidR="006B785A">
        <w:rPr>
          <w:rFonts w:eastAsiaTheme="minorEastAsia"/>
          <w:caps/>
          <w:spacing w:val="15"/>
        </w:rPr>
        <w:t xml:space="preserve"> 2022</w:t>
      </w:r>
      <w:r w:rsidR="00740699">
        <w:rPr>
          <w:rFonts w:eastAsiaTheme="minorEastAsia"/>
          <w:caps/>
          <w:spacing w:val="15"/>
        </w:rPr>
        <w:br/>
      </w:r>
      <w:r w:rsidR="00740699">
        <w:rPr>
          <w:rFonts w:eastAsiaTheme="minorEastAsia"/>
          <w:caps/>
          <w:spacing w:val="15"/>
        </w:rPr>
        <w:br/>
      </w:r>
      <w:r w:rsidR="001B3852">
        <w:rPr>
          <w:rFonts w:cstheme="minorHAnsi"/>
          <w:color w:val="505050"/>
          <w:shd w:val="clear" w:color="auto" w:fill="FFFFFF"/>
        </w:rPr>
        <w:t>A</w:t>
      </w:r>
      <w:r w:rsidRPr="00F34850">
        <w:rPr>
          <w:rFonts w:cstheme="minorHAnsi"/>
          <w:color w:val="505050"/>
          <w:shd w:val="clear" w:color="auto" w:fill="FFFFFF"/>
        </w:rPr>
        <w:t xml:space="preserve"> walk in the dark</w:t>
      </w:r>
      <w:r w:rsidR="001B3852">
        <w:rPr>
          <w:rFonts w:cstheme="minorHAnsi"/>
          <w:color w:val="505050"/>
          <w:shd w:val="clear" w:color="auto" w:fill="FFFFFF"/>
        </w:rPr>
        <w:t xml:space="preserve">. </w:t>
      </w:r>
      <w:r w:rsidR="001B3852">
        <w:rPr>
          <w:rFonts w:cstheme="minorHAnsi"/>
          <w:color w:val="505050"/>
          <w:shd w:val="clear" w:color="auto" w:fill="FFFFFF"/>
        </w:rPr>
        <w:br/>
      </w:r>
      <w:r w:rsidRPr="00F34850">
        <w:rPr>
          <w:rFonts w:cstheme="minorHAnsi"/>
          <w:color w:val="505050"/>
          <w:shd w:val="clear" w:color="auto" w:fill="FFFFFF"/>
        </w:rPr>
        <w:t>On 24 February 2022, the UK government removed the legal requirement for people in England to self-isolate after a positive covid-19 test result, with the other UK na</w:t>
      </w:r>
      <w:r w:rsidR="0061137C">
        <w:rPr>
          <w:rFonts w:cstheme="minorHAnsi"/>
          <w:color w:val="505050"/>
          <w:shd w:val="clear" w:color="auto" w:fill="FFFFFF"/>
        </w:rPr>
        <w:t>tions also easing restrictions.</w:t>
      </w:r>
      <w:r w:rsidRPr="00F34850">
        <w:rPr>
          <w:rFonts w:cstheme="minorHAnsi"/>
          <w:color w:val="505050"/>
          <w:shd w:val="clear" w:color="auto" w:fill="FFFFFF"/>
        </w:rPr>
        <w:t xml:space="preserve"> In doing so, the UK is acting ahead of many of its international peers to embark on a “vaccines only” </w:t>
      </w:r>
      <w:r w:rsidRPr="00F34850">
        <w:rPr>
          <w:rFonts w:cstheme="minorHAnsi"/>
          <w:color w:val="505050"/>
          <w:shd w:val="clear" w:color="auto" w:fill="FFFFFF"/>
        </w:rPr>
        <w:lastRenderedPageBreak/>
        <w:t xml:space="preserve">strategy, hoping that existing immunity in the population will allow a “return to normal.” This view is in sharp contrast to public opinion. In a recent poll by market research company YouGov, only 17% of respondents thought that ending mandatory </w:t>
      </w:r>
      <w:r w:rsidR="0061137C">
        <w:rPr>
          <w:rFonts w:cstheme="minorHAnsi"/>
          <w:color w:val="505050"/>
          <w:shd w:val="clear" w:color="auto" w:fill="FFFFFF"/>
        </w:rPr>
        <w:t>self-isolation was appropriate.</w:t>
      </w:r>
    </w:p>
    <w:p w:rsidR="00F34850" w:rsidRDefault="00F34850" w:rsidP="00F34850">
      <w:pPr>
        <w:pBdr>
          <w:top w:val="single" w:sz="6" w:space="2" w:color="D4802C"/>
          <w:left w:val="single" w:sz="6" w:space="2" w:color="D4802C"/>
        </w:pBdr>
        <w:spacing w:before="300"/>
        <w:outlineLvl w:val="2"/>
        <w:rPr>
          <w:rFonts w:cstheme="minorHAnsi"/>
          <w:color w:val="505050"/>
          <w:shd w:val="clear" w:color="auto" w:fill="FFFFFF"/>
        </w:rPr>
      </w:pPr>
      <w:r w:rsidRPr="00F34850">
        <w:rPr>
          <w:rFonts w:cstheme="minorHAnsi"/>
          <w:color w:val="505050"/>
          <w:shd w:val="clear" w:color="auto" w:fill="FFFFFF"/>
        </w:rPr>
        <w:t>The removal of legal restrictions makes the people of England part of an experiment i</w:t>
      </w:r>
      <w:r w:rsidR="0061137C">
        <w:rPr>
          <w:rFonts w:cstheme="minorHAnsi"/>
          <w:color w:val="505050"/>
          <w:shd w:val="clear" w:color="auto" w:fill="FFFFFF"/>
        </w:rPr>
        <w:t>n which much remains uncertain.</w:t>
      </w:r>
      <w:r w:rsidRPr="00F34850">
        <w:rPr>
          <w:rFonts w:cstheme="minorHAnsi"/>
          <w:color w:val="505050"/>
          <w:shd w:val="clear" w:color="auto" w:fill="FFFFFF"/>
        </w:rPr>
        <w:t xml:space="preserve"> This is acknowledged by chief government advisers Chris Whitty and Patrick Vallance, who accompanied Boris Johnson’s announcement with a warning that rates of covid-19 infection and hospital admission remain high.4 Of equal concern, the government’s announcement also introduced plans to scale back two crucial pillars of the UK’s covid-19 surveillance: the Office for National Statistics’ (ONS) covid-19 infection survey and daily reporting of data on the UK Health Security Agency (UKHSA) covid-19 dashboard.15 When, and to what extent, these important resources will be scaled back remains unclear.</w:t>
      </w:r>
      <w:r w:rsidR="0061137C">
        <w:rPr>
          <w:rFonts w:cstheme="minorHAnsi"/>
          <w:color w:val="505050"/>
          <w:shd w:val="clear" w:color="auto" w:fill="FFFFFF"/>
        </w:rPr>
        <w:br/>
      </w:r>
      <w:hyperlink r:id="rId30" w:history="1">
        <w:r w:rsidR="0061137C" w:rsidRPr="005117FC">
          <w:rPr>
            <w:rStyle w:val="Hyperlink"/>
            <w:rFonts w:cstheme="minorHAnsi"/>
            <w:shd w:val="clear" w:color="auto" w:fill="FFFFFF"/>
          </w:rPr>
          <w:t>https://www.bmj.com/content/376/bmj.o562</w:t>
        </w:r>
      </w:hyperlink>
      <w:r w:rsidR="0061137C">
        <w:rPr>
          <w:rFonts w:cstheme="minorHAnsi"/>
          <w:color w:val="505050"/>
          <w:shd w:val="clear" w:color="auto" w:fill="FFFFFF"/>
        </w:rPr>
        <w:t xml:space="preserve"> </w:t>
      </w:r>
    </w:p>
    <w:p w:rsidR="0013781F" w:rsidRDefault="0013781F" w:rsidP="0013781F">
      <w:pPr>
        <w:pStyle w:val="NormalWeb"/>
        <w:shd w:val="clear" w:color="auto" w:fill="FFFFFF"/>
        <w:spacing w:after="0"/>
        <w:textAlignment w:val="baseline"/>
        <w:rPr>
          <w:rFonts w:ascii="Helvetica" w:hAnsi="Helvetica"/>
          <w:color w:val="333333"/>
        </w:rPr>
      </w:pPr>
    </w:p>
    <w:p w:rsidR="00367796" w:rsidRPr="008B4670" w:rsidRDefault="00367796" w:rsidP="00F34850">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F34850" w:rsidRPr="00F34850">
        <w:rPr>
          <w:rFonts w:eastAsiaTheme="minorEastAsia"/>
          <w:caps/>
          <w:spacing w:val="15"/>
        </w:rPr>
        <w:t>UK testing was “a shambles” so why hasn’t the government learnt from its mistakes, asks Paul Nurse</w:t>
      </w:r>
    </w:p>
    <w:p w:rsidR="00F34850" w:rsidRPr="00F34850" w:rsidRDefault="00F34850" w:rsidP="00F34850">
      <w:pPr>
        <w:pBdr>
          <w:top w:val="single" w:sz="6" w:space="2" w:color="D4802C"/>
          <w:left w:val="single" w:sz="6" w:space="2" w:color="D4802C"/>
        </w:pBdr>
        <w:spacing w:before="300"/>
        <w:outlineLvl w:val="2"/>
        <w:rPr>
          <w:rFonts w:cstheme="minorHAnsi"/>
          <w:color w:val="505050"/>
          <w:shd w:val="clear" w:color="auto" w:fill="FFFFFF"/>
        </w:rPr>
      </w:pPr>
      <w:r>
        <w:rPr>
          <w:rFonts w:eastAsiaTheme="minorEastAsia"/>
          <w:caps/>
          <w:spacing w:val="15"/>
        </w:rPr>
        <w:t>bmj| 2</w:t>
      </w:r>
      <w:r w:rsidRPr="00F34850">
        <w:rPr>
          <w:rFonts w:eastAsiaTheme="minorEastAsia"/>
          <w:caps/>
          <w:spacing w:val="15"/>
          <w:vertAlign w:val="superscript"/>
        </w:rPr>
        <w:t>nd</w:t>
      </w:r>
      <w:r>
        <w:rPr>
          <w:rFonts w:eastAsiaTheme="minorEastAsia"/>
          <w:caps/>
          <w:spacing w:val="15"/>
        </w:rPr>
        <w:t xml:space="preserve"> march</w:t>
      </w:r>
      <w:r w:rsidR="00367796">
        <w:rPr>
          <w:rFonts w:eastAsiaTheme="minorEastAsia"/>
          <w:caps/>
          <w:spacing w:val="15"/>
        </w:rPr>
        <w:t xml:space="preserve"> 2022</w:t>
      </w:r>
      <w:r w:rsidR="00740699">
        <w:rPr>
          <w:rFonts w:eastAsiaTheme="minorEastAsia"/>
          <w:caps/>
          <w:spacing w:val="15"/>
        </w:rPr>
        <w:br/>
      </w:r>
      <w:r w:rsidR="00740699">
        <w:rPr>
          <w:rFonts w:eastAsiaTheme="minorEastAsia"/>
          <w:caps/>
          <w:spacing w:val="15"/>
        </w:rPr>
        <w:br/>
      </w:r>
      <w:r w:rsidRPr="00F34850">
        <w:rPr>
          <w:rFonts w:cstheme="minorHAnsi"/>
          <w:color w:val="505050"/>
          <w:shd w:val="clear" w:color="auto" w:fill="FFFFFF"/>
        </w:rPr>
        <w:t>The winner of the 2001 Nobel Prize in Physiology or Medicine tells Mun-Keat Looi of his experience with testing during the pandemic and the effect of covid-19 on UK research</w:t>
      </w:r>
    </w:p>
    <w:p w:rsidR="00F34850" w:rsidRDefault="00F34850" w:rsidP="00F34850">
      <w:pPr>
        <w:pBdr>
          <w:top w:val="single" w:sz="6" w:space="2" w:color="D4802C"/>
          <w:left w:val="single" w:sz="6" w:space="2" w:color="D4802C"/>
        </w:pBdr>
        <w:spacing w:before="300"/>
        <w:outlineLvl w:val="2"/>
        <w:rPr>
          <w:rFonts w:cstheme="minorHAnsi"/>
          <w:color w:val="505050"/>
          <w:shd w:val="clear" w:color="auto" w:fill="FFFFFF"/>
        </w:rPr>
      </w:pPr>
      <w:r w:rsidRPr="00F34850">
        <w:rPr>
          <w:rFonts w:cstheme="minorHAnsi"/>
          <w:color w:val="505050"/>
          <w:shd w:val="clear" w:color="auto" w:fill="FFFFFF"/>
        </w:rPr>
        <w:t>Paul Nurse is no expert, he says. The geneticist and former president of the Royal Society is humble about the limits of his knowledge when it comes to covid-19, and yet on the hot topic of testing he does not hesitate to use his prominent voice.</w:t>
      </w:r>
      <w:r>
        <w:rPr>
          <w:rFonts w:cstheme="minorHAnsi"/>
          <w:color w:val="505050"/>
          <w:shd w:val="clear" w:color="auto" w:fill="FFFFFF"/>
        </w:rPr>
        <w:br/>
      </w:r>
      <w:hyperlink r:id="rId31" w:history="1">
        <w:r w:rsidRPr="005117FC">
          <w:rPr>
            <w:rStyle w:val="Hyperlink"/>
            <w:rFonts w:cstheme="minorHAnsi"/>
            <w:shd w:val="clear" w:color="auto" w:fill="FFFFFF"/>
          </w:rPr>
          <w:t>https://www.bmj.com/content/376/bmj.o168</w:t>
        </w:r>
      </w:hyperlink>
      <w:r>
        <w:rPr>
          <w:rFonts w:cstheme="minorHAnsi"/>
          <w:color w:val="505050"/>
          <w:shd w:val="clear" w:color="auto" w:fill="FFFFFF"/>
        </w:rPr>
        <w:t xml:space="preserve"> </w:t>
      </w:r>
    </w:p>
    <w:p w:rsidR="00B738F7" w:rsidRDefault="00B738F7" w:rsidP="00B738F7"/>
    <w:p w:rsidR="00B738F7" w:rsidRPr="008B4670" w:rsidRDefault="00B738F7" w:rsidP="00B738F7">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52565F" w:rsidRPr="0052565F">
        <w:rPr>
          <w:rFonts w:eastAsiaTheme="minorEastAsia"/>
          <w:caps/>
          <w:spacing w:val="15"/>
        </w:rPr>
        <w:t>Covid-19: Public vaccine funding needs “strings attached” for equitable access, say campaigners</w:t>
      </w:r>
    </w:p>
    <w:p w:rsidR="0052565F" w:rsidRPr="0052565F" w:rsidRDefault="0052565F" w:rsidP="0052565F">
      <w:pPr>
        <w:pBdr>
          <w:top w:val="single" w:sz="6" w:space="2" w:color="D4802C"/>
          <w:left w:val="single" w:sz="6" w:space="2" w:color="D4802C"/>
        </w:pBdr>
        <w:spacing w:before="300"/>
        <w:outlineLvl w:val="2"/>
        <w:rPr>
          <w:rFonts w:cstheme="minorHAnsi"/>
          <w:color w:val="505050"/>
          <w:shd w:val="clear" w:color="auto" w:fill="FFFFFF"/>
        </w:rPr>
      </w:pPr>
      <w:r>
        <w:rPr>
          <w:rFonts w:eastAsiaTheme="minorEastAsia"/>
          <w:caps/>
          <w:spacing w:val="15"/>
        </w:rPr>
        <w:t>bmj | 3</w:t>
      </w:r>
      <w:r w:rsidRPr="0052565F">
        <w:rPr>
          <w:rFonts w:eastAsiaTheme="minorEastAsia"/>
          <w:caps/>
          <w:spacing w:val="15"/>
          <w:vertAlign w:val="superscript"/>
        </w:rPr>
        <w:t>rd</w:t>
      </w:r>
      <w:r>
        <w:rPr>
          <w:rFonts w:eastAsiaTheme="minorEastAsia"/>
          <w:caps/>
          <w:spacing w:val="15"/>
        </w:rPr>
        <w:t xml:space="preserve"> march</w:t>
      </w:r>
      <w:r w:rsidR="00B738F7">
        <w:rPr>
          <w:rFonts w:eastAsiaTheme="minorEastAsia"/>
          <w:caps/>
          <w:spacing w:val="15"/>
        </w:rPr>
        <w:t xml:space="preserve"> 2022</w:t>
      </w:r>
      <w:r w:rsidR="00B738F7">
        <w:rPr>
          <w:rFonts w:eastAsiaTheme="minorEastAsia"/>
          <w:caps/>
          <w:spacing w:val="15"/>
        </w:rPr>
        <w:br/>
      </w:r>
      <w:r w:rsidR="00B738F7">
        <w:rPr>
          <w:rFonts w:eastAsiaTheme="minorEastAsia"/>
          <w:caps/>
          <w:spacing w:val="15"/>
        </w:rPr>
        <w:br/>
      </w:r>
      <w:r w:rsidRPr="0052565F">
        <w:rPr>
          <w:rFonts w:cstheme="minorHAnsi"/>
          <w:color w:val="505050"/>
          <w:shd w:val="clear" w:color="auto" w:fill="FFFFFF"/>
        </w:rPr>
        <w:t>Public funding given to companies for future vaccine development should have global access requirements built into agreements to avoid the inequity seen during the covid-19 pandemic, campaigners have said.</w:t>
      </w:r>
    </w:p>
    <w:p w:rsidR="00B738F7" w:rsidRDefault="0052565F" w:rsidP="0052565F">
      <w:pPr>
        <w:pBdr>
          <w:top w:val="single" w:sz="6" w:space="2" w:color="D4802C"/>
          <w:left w:val="single" w:sz="6" w:space="2" w:color="D4802C"/>
        </w:pBdr>
        <w:spacing w:before="300"/>
        <w:outlineLvl w:val="2"/>
      </w:pPr>
      <w:r w:rsidRPr="0052565F">
        <w:rPr>
          <w:rFonts w:cstheme="minorHAnsi"/>
          <w:color w:val="505050"/>
          <w:shd w:val="clear" w:color="auto" w:fill="FFFFFF"/>
        </w:rPr>
        <w:t xml:space="preserve">Speaking at the Westminster Health Forum on 21 February, Tahir Amin, co-founder and co-executive director of I-MAK—a US based group that campaigns for increased access to affordable drugs—highlighted that pharmaceutical companies have been given billions of dollars in public funds for </w:t>
      </w:r>
      <w:r w:rsidRPr="0052565F">
        <w:rPr>
          <w:rFonts w:cstheme="minorHAnsi"/>
          <w:color w:val="505050"/>
          <w:shd w:val="clear" w:color="auto" w:fill="FFFFFF"/>
        </w:rPr>
        <w:lastRenderedPageBreak/>
        <w:t>vaccine development in recent years with “no strings attached.”</w:t>
      </w:r>
      <w:r w:rsidR="00B738F7" w:rsidRPr="003C6AF4">
        <w:rPr>
          <w:rFonts w:cstheme="minorHAnsi"/>
          <w:color w:val="505050"/>
          <w:shd w:val="clear" w:color="auto" w:fill="FFFFFF"/>
        </w:rPr>
        <w:br/>
      </w:r>
      <w:hyperlink r:id="rId32" w:history="1">
        <w:r w:rsidRPr="005117FC">
          <w:rPr>
            <w:rStyle w:val="Hyperlink"/>
          </w:rPr>
          <w:t>https://www.bmj.com/content/376/bmj.o565</w:t>
        </w:r>
      </w:hyperlink>
      <w:r>
        <w:t xml:space="preserve"> </w:t>
      </w:r>
    </w:p>
    <w:p w:rsidR="00B738F7" w:rsidRDefault="00B738F7" w:rsidP="00B738F7">
      <w:pPr>
        <w:spacing w:before="200"/>
        <w:rPr>
          <w:rFonts w:eastAsiaTheme="minorEastAsia"/>
        </w:rPr>
      </w:pPr>
    </w:p>
    <w:p w:rsidR="00B738F7" w:rsidRPr="008B4670" w:rsidRDefault="00B738F7" w:rsidP="00B738F7">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52565F" w:rsidRPr="0052565F">
        <w:rPr>
          <w:rFonts w:eastAsiaTheme="minorEastAsia"/>
          <w:caps/>
          <w:spacing w:val="15"/>
        </w:rPr>
        <w:t>COVID-19 vaccination in young children</w:t>
      </w:r>
    </w:p>
    <w:p w:rsidR="00B738F7" w:rsidRDefault="0052565F" w:rsidP="00B738F7">
      <w:pPr>
        <w:pBdr>
          <w:top w:val="single" w:sz="6" w:space="2" w:color="D4802C"/>
          <w:left w:val="single" w:sz="6" w:space="2" w:color="D4802C"/>
        </w:pBdr>
        <w:spacing w:before="300"/>
        <w:outlineLvl w:val="2"/>
      </w:pPr>
      <w:r>
        <w:rPr>
          <w:rFonts w:eastAsiaTheme="minorEastAsia"/>
          <w:caps/>
          <w:spacing w:val="15"/>
        </w:rPr>
        <w:t>the lancet respiratory medicine| 3</w:t>
      </w:r>
      <w:r w:rsidRPr="0052565F">
        <w:rPr>
          <w:rFonts w:eastAsiaTheme="minorEastAsia"/>
          <w:caps/>
          <w:spacing w:val="15"/>
          <w:vertAlign w:val="superscript"/>
        </w:rPr>
        <w:t>rd</w:t>
      </w:r>
      <w:r>
        <w:rPr>
          <w:rFonts w:eastAsiaTheme="minorEastAsia"/>
          <w:caps/>
          <w:spacing w:val="15"/>
        </w:rPr>
        <w:t xml:space="preserve"> march</w:t>
      </w:r>
      <w:r w:rsidR="00B738F7">
        <w:rPr>
          <w:rFonts w:eastAsiaTheme="minorEastAsia"/>
          <w:caps/>
          <w:spacing w:val="15"/>
        </w:rPr>
        <w:t xml:space="preserve"> 2022</w:t>
      </w:r>
      <w:r w:rsidR="00B738F7">
        <w:rPr>
          <w:rFonts w:eastAsiaTheme="minorEastAsia"/>
          <w:caps/>
          <w:spacing w:val="15"/>
        </w:rPr>
        <w:br/>
      </w:r>
      <w:r w:rsidR="00B738F7">
        <w:rPr>
          <w:rFonts w:eastAsiaTheme="minorEastAsia"/>
          <w:caps/>
          <w:spacing w:val="15"/>
        </w:rPr>
        <w:br/>
      </w:r>
      <w:r w:rsidRPr="0052565F">
        <w:rPr>
          <w:rFonts w:cstheme="minorHAnsi"/>
          <w:color w:val="333333"/>
          <w:shd w:val="clear" w:color="auto" w:fill="FFFFFF"/>
        </w:rPr>
        <w:t>On Feb 16, 2022, the UK Joint Committee on Vaccination and Immunisation (JCVI) issued a statement recommending that all children aged 5–11 years should be offered the COVID-19 vaccine. “Although this age group is generally at very low risk of serious illness from the virus, a very small number of children who get infected do develop severe disease”, wrote the committee. “Latest evidence suggests that offering the vaccine ahead of another potential wave will protect this very small number of children from serious illness and hospitalisation—and will also provide some short-term protection against mild infection across the age group.”</w:t>
      </w:r>
      <w:r>
        <w:rPr>
          <w:rFonts w:cstheme="minorHAnsi"/>
          <w:color w:val="333333"/>
          <w:shd w:val="clear" w:color="auto" w:fill="FFFFFF"/>
        </w:rPr>
        <w:br/>
      </w:r>
      <w:hyperlink r:id="rId33" w:history="1">
        <w:r w:rsidRPr="005117FC">
          <w:rPr>
            <w:rStyle w:val="Hyperlink"/>
          </w:rPr>
          <w:t>https://www.thelancet.com/journals/lanres/article/PIIS2213-2600(22)00085-6/fulltext</w:t>
        </w:r>
      </w:hyperlink>
      <w:r>
        <w:t xml:space="preserve"> </w:t>
      </w:r>
    </w:p>
    <w:p w:rsidR="00B738F7" w:rsidRDefault="00B738F7" w:rsidP="00367796">
      <w:pPr>
        <w:shd w:val="clear" w:color="auto" w:fill="FFFFFF"/>
        <w:spacing w:before="100" w:beforeAutospacing="1" w:after="100" w:afterAutospacing="1" w:line="297" w:lineRule="atLeast"/>
        <w:rPr>
          <w:rFonts w:ascii="Arial" w:hAnsi="Arial" w:cs="Arial"/>
          <w:color w:val="000000"/>
          <w:sz w:val="20"/>
          <w:szCs w:val="20"/>
        </w:rPr>
      </w:pPr>
    </w:p>
    <w:p w:rsidR="0052565F" w:rsidRPr="0052565F" w:rsidRDefault="00147534" w:rsidP="0052565F">
      <w:pPr>
        <w:pBdr>
          <w:top w:val="single" w:sz="6" w:space="2" w:color="D4802C"/>
          <w:left w:val="single" w:sz="6" w:space="2" w:color="D4802C"/>
        </w:pBdr>
        <w:spacing w:before="300"/>
        <w:outlineLvl w:val="2"/>
        <w:rPr>
          <w:rFonts w:cstheme="minorHAnsi"/>
          <w:color w:val="333333"/>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52565F" w:rsidRPr="0052565F">
        <w:rPr>
          <w:rFonts w:eastAsiaTheme="minorEastAsia"/>
          <w:caps/>
          <w:spacing w:val="15"/>
        </w:rPr>
        <w:t>Waning immune responses against SARS-CoV-2 variants of concern among vaccinees in Hong Kong</w:t>
      </w:r>
      <w:r w:rsidR="0052565F">
        <w:rPr>
          <w:rFonts w:eastAsiaTheme="minorEastAsia"/>
          <w:caps/>
          <w:spacing w:val="15"/>
        </w:rPr>
        <w:br/>
      </w:r>
      <w:r w:rsidR="0052565F">
        <w:rPr>
          <w:rFonts w:eastAsiaTheme="minorEastAsia"/>
          <w:caps/>
          <w:spacing w:val="15"/>
        </w:rPr>
        <w:br/>
        <w:t>the lancet ebio medicine| 3</w:t>
      </w:r>
      <w:r w:rsidR="0052565F" w:rsidRPr="0052565F">
        <w:rPr>
          <w:rFonts w:eastAsiaTheme="minorEastAsia"/>
          <w:caps/>
          <w:spacing w:val="15"/>
          <w:vertAlign w:val="superscript"/>
        </w:rPr>
        <w:t>rd</w:t>
      </w:r>
      <w:r w:rsidR="0052565F">
        <w:rPr>
          <w:rFonts w:eastAsiaTheme="minorEastAsia"/>
          <w:caps/>
          <w:spacing w:val="15"/>
        </w:rPr>
        <w:t xml:space="preserve"> march </w:t>
      </w:r>
      <w:r>
        <w:rPr>
          <w:rFonts w:eastAsiaTheme="minorEastAsia"/>
          <w:caps/>
          <w:spacing w:val="15"/>
        </w:rPr>
        <w:t>2022</w:t>
      </w:r>
      <w:r>
        <w:rPr>
          <w:rFonts w:eastAsiaTheme="minorEastAsia"/>
          <w:caps/>
          <w:spacing w:val="15"/>
        </w:rPr>
        <w:br/>
      </w:r>
      <w:r>
        <w:rPr>
          <w:rFonts w:eastAsiaTheme="minorEastAsia"/>
          <w:caps/>
          <w:spacing w:val="15"/>
        </w:rPr>
        <w:br/>
      </w:r>
      <w:r w:rsidR="0052565F" w:rsidRPr="0052565F">
        <w:rPr>
          <w:rFonts w:cstheme="minorHAnsi"/>
          <w:color w:val="333333"/>
        </w:rPr>
        <w:t>Background</w:t>
      </w:r>
      <w:r w:rsidR="001B3852">
        <w:rPr>
          <w:rFonts w:cstheme="minorHAnsi"/>
          <w:color w:val="333333"/>
        </w:rPr>
        <w:t xml:space="preserve">. </w:t>
      </w:r>
      <w:r w:rsidR="0052565F" w:rsidRPr="0052565F">
        <w:rPr>
          <w:rFonts w:cstheme="minorHAnsi"/>
          <w:color w:val="333333"/>
        </w:rPr>
        <w:t>Nearly 4 billion doses of the BNT162b2-mRNA and CoronaVac-inactivated vaccines have been administrated globally, yet different vaccine-induced immunity against SARS-CoV-2 variants of concern (VOCs) remain incompletely investigated.</w:t>
      </w:r>
    </w:p>
    <w:p w:rsidR="0052565F" w:rsidRPr="0052565F" w:rsidRDefault="0052565F" w:rsidP="0052565F">
      <w:pPr>
        <w:pBdr>
          <w:top w:val="single" w:sz="6" w:space="2" w:color="D4802C"/>
          <w:left w:val="single" w:sz="6" w:space="2" w:color="D4802C"/>
        </w:pBdr>
        <w:spacing w:before="300"/>
        <w:outlineLvl w:val="2"/>
        <w:rPr>
          <w:rFonts w:cstheme="minorHAnsi"/>
          <w:color w:val="333333"/>
        </w:rPr>
      </w:pPr>
      <w:r w:rsidRPr="0052565F">
        <w:rPr>
          <w:rFonts w:cstheme="minorHAnsi"/>
          <w:color w:val="333333"/>
        </w:rPr>
        <w:t>Methods</w:t>
      </w:r>
      <w:r w:rsidR="001B3852">
        <w:rPr>
          <w:rFonts w:cstheme="minorHAnsi"/>
          <w:color w:val="333333"/>
        </w:rPr>
        <w:t xml:space="preserve">. </w:t>
      </w:r>
      <w:r w:rsidRPr="0052565F">
        <w:rPr>
          <w:rFonts w:cstheme="minorHAnsi"/>
          <w:color w:val="333333"/>
        </w:rPr>
        <w:t>We compare the immunogenicity and durability of these two vaccines among fully vaccinated Hong Kong people.</w:t>
      </w:r>
    </w:p>
    <w:p w:rsidR="0052565F" w:rsidRPr="0052565F" w:rsidRDefault="0052565F" w:rsidP="0052565F">
      <w:pPr>
        <w:pBdr>
          <w:top w:val="single" w:sz="6" w:space="2" w:color="D4802C"/>
          <w:left w:val="single" w:sz="6" w:space="2" w:color="D4802C"/>
        </w:pBdr>
        <w:spacing w:before="300"/>
        <w:outlineLvl w:val="2"/>
        <w:rPr>
          <w:rFonts w:cstheme="minorHAnsi"/>
          <w:color w:val="333333"/>
        </w:rPr>
      </w:pPr>
      <w:r w:rsidRPr="0052565F">
        <w:rPr>
          <w:rFonts w:cstheme="minorHAnsi"/>
          <w:color w:val="333333"/>
        </w:rPr>
        <w:t>Findings</w:t>
      </w:r>
      <w:r w:rsidR="001B3852">
        <w:rPr>
          <w:rFonts w:cstheme="minorHAnsi"/>
          <w:color w:val="333333"/>
        </w:rPr>
        <w:t xml:space="preserve">. </w:t>
      </w:r>
      <w:r w:rsidRPr="0052565F">
        <w:rPr>
          <w:rFonts w:cstheme="minorHAnsi"/>
          <w:color w:val="333333"/>
        </w:rPr>
        <w:t>Standard BNT162b2 and CoronaVac vaccinations were tolerated and induced neutralizing antibody (NAb) (100% and 85.7%) and spike-specific CD4 T cell responses (96.7% and 82.1%), respectively. The geometric mean NAb IC50 and median frequencies of reactive CD4 subsets were consistently lower among CoronaVac-vaccinees than BNT162b2-vaccinees. CoronaVac did not induce measurable levels of nucleocapsid protein-specific IFN-γ+ CD4+ T or IFN-γ+ CD8+ T cells compared with unvaccinated. Against VOCs, NAb response rates and geometric mean IC50 titers against B.1.617.2 (Delta) and B.1.1.529 (Omicron) were significantly lower for CoronaVac (50%, 23.2 and 7.1%, &lt;20) than BNT162b2 (94.1%, 131 and 58.8%, 35.0), respectively. Three months after vaccinations, NAbs to VOCs dropped near to detection limit, along with waning memory T cell responses, mainly among CoronaVac-vaccinees.</w:t>
      </w:r>
    </w:p>
    <w:p w:rsidR="00147534" w:rsidRPr="0013781F" w:rsidRDefault="001B3852" w:rsidP="0052565F">
      <w:pPr>
        <w:pBdr>
          <w:top w:val="single" w:sz="6" w:space="2" w:color="D4802C"/>
          <w:left w:val="single" w:sz="6" w:space="2" w:color="D4802C"/>
        </w:pBdr>
        <w:spacing w:before="300"/>
        <w:outlineLvl w:val="2"/>
        <w:rPr>
          <w:rFonts w:cstheme="minorHAnsi"/>
        </w:rPr>
      </w:pPr>
      <w:r>
        <w:rPr>
          <w:rFonts w:cstheme="minorHAnsi"/>
          <w:color w:val="333333"/>
        </w:rPr>
        <w:lastRenderedPageBreak/>
        <w:t>I</w:t>
      </w:r>
      <w:r w:rsidR="0052565F" w:rsidRPr="0052565F">
        <w:rPr>
          <w:rFonts w:cstheme="minorHAnsi"/>
          <w:color w:val="333333"/>
        </w:rPr>
        <w:t>nterpretation</w:t>
      </w:r>
      <w:r>
        <w:rPr>
          <w:rFonts w:cstheme="minorHAnsi"/>
          <w:color w:val="333333"/>
        </w:rPr>
        <w:t xml:space="preserve">. </w:t>
      </w:r>
      <w:r w:rsidR="0052565F" w:rsidRPr="0052565F">
        <w:rPr>
          <w:rFonts w:cstheme="minorHAnsi"/>
          <w:color w:val="333333"/>
        </w:rPr>
        <w:t>Our results indicate that vaccinees especially CoronaVac-vaccinees with significantly reduced NAbs may probably face higher risk to pandemic VOCs breakthrough infection.</w:t>
      </w:r>
      <w:r w:rsidR="00147534" w:rsidRPr="0013781F">
        <w:rPr>
          <w:rFonts w:cstheme="minorHAnsi"/>
          <w:color w:val="333333"/>
        </w:rPr>
        <w:br/>
      </w:r>
      <w:hyperlink r:id="rId34" w:history="1">
        <w:r w:rsidR="0052565F" w:rsidRPr="005117FC">
          <w:rPr>
            <w:rStyle w:val="Hyperlink"/>
            <w:rFonts w:cstheme="minorHAnsi"/>
          </w:rPr>
          <w:t>https://www.thelancet.com/journals/ebiom/article/PIIS2352-3964(22)00088-3/fulltext</w:t>
        </w:r>
      </w:hyperlink>
      <w:r w:rsidR="0052565F">
        <w:rPr>
          <w:rFonts w:cstheme="minorHAnsi"/>
        </w:rPr>
        <w:t xml:space="preserve"> </w:t>
      </w:r>
    </w:p>
    <w:p w:rsidR="00147534" w:rsidRDefault="00147534" w:rsidP="00367796">
      <w:pPr>
        <w:shd w:val="clear" w:color="auto" w:fill="FFFFFF"/>
        <w:spacing w:before="100" w:beforeAutospacing="1" w:after="100" w:afterAutospacing="1" w:line="297" w:lineRule="atLeast"/>
        <w:rPr>
          <w:rFonts w:ascii="Arial" w:hAnsi="Arial" w:cs="Arial"/>
          <w:color w:val="000000"/>
          <w:sz w:val="20"/>
          <w:szCs w:val="20"/>
        </w:rPr>
      </w:pPr>
    </w:p>
    <w:p w:rsidR="00367796" w:rsidRPr="008B4670" w:rsidRDefault="00367796" w:rsidP="00367796">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00E87438">
        <w:rPr>
          <w:rFonts w:eastAsiaTheme="minorEastAsia"/>
          <w:caps/>
          <w:spacing w:val="15"/>
        </w:rPr>
        <w:t xml:space="preserve"> </w:t>
      </w:r>
      <w:r w:rsidR="00E87438" w:rsidRPr="00E87438">
        <w:rPr>
          <w:rFonts w:eastAsiaTheme="minorEastAsia"/>
          <w:caps/>
          <w:spacing w:val="15"/>
        </w:rPr>
        <w:t>Effectiveness of Ad26.COV2.S Vaccine vs BNT162b2 Vaccine for COVID-19 Hospitalizations</w:t>
      </w:r>
    </w:p>
    <w:p w:rsidR="00E87438" w:rsidRDefault="00E87438" w:rsidP="003C6AF4">
      <w:pPr>
        <w:pBdr>
          <w:top w:val="single" w:sz="6" w:space="2" w:color="D4802C"/>
          <w:left w:val="single" w:sz="6" w:space="2" w:color="D4802C"/>
        </w:pBdr>
        <w:spacing w:before="300"/>
        <w:outlineLvl w:val="2"/>
        <w:rPr>
          <w:rFonts w:cstheme="minorHAnsi"/>
          <w:color w:val="333333"/>
        </w:rPr>
      </w:pPr>
      <w:r>
        <w:rPr>
          <w:rFonts w:eastAsiaTheme="minorEastAsia"/>
          <w:caps/>
          <w:spacing w:val="15"/>
        </w:rPr>
        <w:t>JAMA| 2</w:t>
      </w:r>
      <w:r w:rsidRPr="00E87438">
        <w:rPr>
          <w:rFonts w:eastAsiaTheme="minorEastAsia"/>
          <w:caps/>
          <w:spacing w:val="15"/>
          <w:vertAlign w:val="superscript"/>
        </w:rPr>
        <w:t>nd</w:t>
      </w:r>
      <w:r>
        <w:rPr>
          <w:rFonts w:eastAsiaTheme="minorEastAsia"/>
          <w:caps/>
          <w:spacing w:val="15"/>
        </w:rPr>
        <w:t xml:space="preserve"> march</w:t>
      </w:r>
      <w:r w:rsidR="00367796">
        <w:rPr>
          <w:rFonts w:eastAsiaTheme="minorEastAsia"/>
          <w:caps/>
          <w:spacing w:val="15"/>
        </w:rPr>
        <w:t xml:space="preserve"> 2022</w:t>
      </w:r>
      <w:r w:rsidR="003C6AF4">
        <w:rPr>
          <w:rFonts w:eastAsiaTheme="minorEastAsia"/>
          <w:caps/>
          <w:spacing w:val="15"/>
        </w:rPr>
        <w:br/>
      </w:r>
      <w:r w:rsidR="003C6AF4">
        <w:rPr>
          <w:rFonts w:eastAsiaTheme="minorEastAsia"/>
          <w:caps/>
          <w:spacing w:val="15"/>
        </w:rPr>
        <w:br/>
      </w:r>
      <w:r w:rsidRPr="00E87438">
        <w:rPr>
          <w:rFonts w:cstheme="minorHAnsi"/>
          <w:color w:val="333333"/>
        </w:rPr>
        <w:t>Although the Ad26.COV2.S vaccine (Janssen) showed an efficacy of 85.4% against severe and critical COVID-19 in the pivotal trial,1 its effectiveness in the general population against COVID-19 hospitalization was estimated to be approximately 68%,2,3 compared with approximately 90% for mRNA vaccines.4 However, to date, the effectiveness of Ad26.COV2.S has not been compared with that of other COVID-19 vaccines. In France, the Ad26.COV2.S vaccine was used from April 24, 2021, in people aged 55 years or older, whereas the BNT162b2 mRNA vaccine (Pfizer-BioNTech) was the most widely administered (78% of first doses). As of the end of July 2021, 19 million people aged 55 years or older (84% of the population in that age group) were partially or fully vaccinated. In this comparative effectiveness research study, we compare the effectiveness of full vaccination with Ad26.COV2.S vs BNT162b2 against C</w:t>
      </w:r>
      <w:r>
        <w:rPr>
          <w:rFonts w:cstheme="minorHAnsi"/>
          <w:color w:val="333333"/>
        </w:rPr>
        <w:t xml:space="preserve">OVID-19–related hospitalization … </w:t>
      </w:r>
      <w:r w:rsidRPr="00E87438">
        <w:rPr>
          <w:rFonts w:cstheme="minorHAnsi"/>
          <w:color w:val="333333"/>
        </w:rPr>
        <w:t>This study found that the Ad26.COV2.S vaccine is less effective against COVID-19–related hospitalization than the BNT162b2 vaccine. These results strengthen the evidence supporting a second dose in people who received the Ad26.COV2.S vaccine by an mRNA vaccine as recommended in both France and the US.</w:t>
      </w:r>
      <w:r>
        <w:rPr>
          <w:rFonts w:cstheme="minorHAnsi"/>
          <w:color w:val="333333"/>
        </w:rPr>
        <w:br/>
      </w:r>
      <w:hyperlink r:id="rId35" w:history="1">
        <w:r w:rsidRPr="005117FC">
          <w:rPr>
            <w:rStyle w:val="Hyperlink"/>
            <w:rFonts w:cstheme="minorHAnsi"/>
          </w:rPr>
          <w:t>https://jamanetwork.com/journals/jamanetworkopen/fullarticle/2789572</w:t>
        </w:r>
      </w:hyperlink>
      <w:r>
        <w:rPr>
          <w:rFonts w:cstheme="minorHAnsi"/>
          <w:color w:val="333333"/>
        </w:rPr>
        <w:t xml:space="preserve"> </w:t>
      </w:r>
    </w:p>
    <w:p w:rsidR="003C6AF4" w:rsidRDefault="003C6AF4" w:rsidP="00033BCE"/>
    <w:p w:rsidR="00C45423" w:rsidRPr="008B4670" w:rsidRDefault="00C45423" w:rsidP="00C45423">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B71F08" w:rsidRPr="00B71F08">
        <w:rPr>
          <w:rFonts w:eastAsiaTheme="minorEastAsia"/>
          <w:caps/>
          <w:spacing w:val="15"/>
        </w:rPr>
        <w:t>The ChAdOx1 vectored vaccine, AZD2816, induces strong immunogenicity against SARS-CoV-2 beta (B.1.351) and other variants of concern in preclinical studies</w:t>
      </w:r>
    </w:p>
    <w:p w:rsidR="00B71F08" w:rsidRPr="00B71F08" w:rsidRDefault="00B71F08" w:rsidP="00B71F08">
      <w:pPr>
        <w:pBdr>
          <w:top w:val="single" w:sz="6" w:space="2" w:color="D4802C"/>
          <w:left w:val="single" w:sz="6" w:space="2" w:color="D4802C"/>
        </w:pBdr>
        <w:spacing w:before="300"/>
        <w:outlineLvl w:val="2"/>
        <w:rPr>
          <w:rFonts w:eastAsia="Times New Roman" w:cstheme="minorHAnsi"/>
          <w:color w:val="333333"/>
          <w:bdr w:val="none" w:sz="0" w:space="0" w:color="auto" w:frame="1"/>
          <w:shd w:val="clear" w:color="auto" w:fill="FFFFFF"/>
          <w:lang w:eastAsia="en-GB"/>
        </w:rPr>
      </w:pPr>
      <w:r>
        <w:rPr>
          <w:rFonts w:eastAsiaTheme="minorEastAsia"/>
          <w:caps/>
          <w:spacing w:val="15"/>
        </w:rPr>
        <w:t>the lancet ebio medicine | 1</w:t>
      </w:r>
      <w:r w:rsidRPr="00B71F08">
        <w:rPr>
          <w:rFonts w:eastAsiaTheme="minorEastAsia"/>
          <w:caps/>
          <w:spacing w:val="15"/>
          <w:vertAlign w:val="superscript"/>
        </w:rPr>
        <w:t>st</w:t>
      </w:r>
      <w:r>
        <w:rPr>
          <w:rFonts w:eastAsiaTheme="minorEastAsia"/>
          <w:caps/>
          <w:spacing w:val="15"/>
        </w:rPr>
        <w:t xml:space="preserve"> </w:t>
      </w:r>
      <w:r w:rsidR="00C45423">
        <w:rPr>
          <w:rFonts w:eastAsiaTheme="minorEastAsia"/>
          <w:caps/>
          <w:spacing w:val="15"/>
        </w:rPr>
        <w:t xml:space="preserve"> 2022</w:t>
      </w:r>
      <w:r>
        <w:rPr>
          <w:rFonts w:eastAsiaTheme="minorEastAsia"/>
          <w:caps/>
          <w:spacing w:val="15"/>
        </w:rPr>
        <w:t xml:space="preserve"> </w:t>
      </w:r>
      <w:r>
        <w:rPr>
          <w:rFonts w:eastAsiaTheme="minorEastAsia"/>
          <w:caps/>
          <w:spacing w:val="15"/>
        </w:rPr>
        <w:br/>
      </w:r>
      <w:r>
        <w:rPr>
          <w:rFonts w:eastAsia="Times New Roman" w:cstheme="minorHAnsi"/>
          <w:color w:val="333333"/>
          <w:bdr w:val="none" w:sz="0" w:space="0" w:color="auto" w:frame="1"/>
          <w:shd w:val="clear" w:color="auto" w:fill="FFFFFF"/>
          <w:lang w:eastAsia="en-GB"/>
        </w:rPr>
        <w:br/>
      </w:r>
      <w:r w:rsidRPr="00B71F08">
        <w:rPr>
          <w:rFonts w:eastAsia="Times New Roman" w:cstheme="minorHAnsi"/>
          <w:color w:val="333333"/>
          <w:bdr w:val="none" w:sz="0" w:space="0" w:color="auto" w:frame="1"/>
          <w:shd w:val="clear" w:color="auto" w:fill="FFFFFF"/>
          <w:lang w:eastAsia="en-GB"/>
        </w:rPr>
        <w:t>Background</w:t>
      </w:r>
      <w:r w:rsidR="001B3852">
        <w:rPr>
          <w:rFonts w:eastAsia="Times New Roman" w:cstheme="minorHAnsi"/>
          <w:color w:val="333333"/>
          <w:bdr w:val="none" w:sz="0" w:space="0" w:color="auto" w:frame="1"/>
          <w:shd w:val="clear" w:color="auto" w:fill="FFFFFF"/>
          <w:lang w:eastAsia="en-GB"/>
        </w:rPr>
        <w:t xml:space="preserve">. </w:t>
      </w:r>
      <w:r w:rsidRPr="00B71F08">
        <w:rPr>
          <w:rFonts w:eastAsia="Times New Roman" w:cstheme="minorHAnsi"/>
          <w:color w:val="333333"/>
          <w:bdr w:val="none" w:sz="0" w:space="0" w:color="auto" w:frame="1"/>
          <w:shd w:val="clear" w:color="auto" w:fill="FFFFFF"/>
          <w:lang w:eastAsia="en-GB"/>
        </w:rPr>
        <w:t>There is an ongoing global effort to design, manufacture, and clinically assess vaccines against SARS-CoV-2. Over the course of the ongoing pandemic a number of new SARS-CoV-2 virus isolates or variants of concern (VoC) have been identified containing mutations in key proteins.</w:t>
      </w:r>
    </w:p>
    <w:p w:rsidR="00B71F08" w:rsidRPr="00B71F08" w:rsidRDefault="00B71F08" w:rsidP="00B71F08">
      <w:pPr>
        <w:pBdr>
          <w:top w:val="single" w:sz="6" w:space="2" w:color="D4802C"/>
          <w:left w:val="single" w:sz="6" w:space="2" w:color="D4802C"/>
        </w:pBdr>
        <w:spacing w:before="300"/>
        <w:outlineLvl w:val="2"/>
        <w:rPr>
          <w:rFonts w:eastAsia="Times New Roman" w:cstheme="minorHAnsi"/>
          <w:color w:val="333333"/>
          <w:bdr w:val="none" w:sz="0" w:space="0" w:color="auto" w:frame="1"/>
          <w:shd w:val="clear" w:color="auto" w:fill="FFFFFF"/>
          <w:lang w:eastAsia="en-GB"/>
        </w:rPr>
      </w:pPr>
      <w:r w:rsidRPr="00B71F08">
        <w:rPr>
          <w:rFonts w:eastAsia="Times New Roman" w:cstheme="minorHAnsi"/>
          <w:color w:val="333333"/>
          <w:bdr w:val="none" w:sz="0" w:space="0" w:color="auto" w:frame="1"/>
          <w:shd w:val="clear" w:color="auto" w:fill="FFFFFF"/>
          <w:lang w:eastAsia="en-GB"/>
        </w:rPr>
        <w:t>Methods</w:t>
      </w:r>
      <w:r w:rsidR="001B3852">
        <w:rPr>
          <w:rFonts w:eastAsia="Times New Roman" w:cstheme="minorHAnsi"/>
          <w:color w:val="333333"/>
          <w:bdr w:val="none" w:sz="0" w:space="0" w:color="auto" w:frame="1"/>
          <w:shd w:val="clear" w:color="auto" w:fill="FFFFFF"/>
          <w:lang w:eastAsia="en-GB"/>
        </w:rPr>
        <w:t xml:space="preserve">.  </w:t>
      </w:r>
      <w:r w:rsidRPr="00B71F08">
        <w:rPr>
          <w:rFonts w:eastAsia="Times New Roman" w:cstheme="minorHAnsi"/>
          <w:color w:val="333333"/>
          <w:bdr w:val="none" w:sz="0" w:space="0" w:color="auto" w:frame="1"/>
          <w:shd w:val="clear" w:color="auto" w:fill="FFFFFF"/>
          <w:lang w:eastAsia="en-GB"/>
        </w:rPr>
        <w:t>In this study we describe the generation and preclinical assessment of a ChAdOx1-vectored vaccine (AZD2816) which expresses the spike protein of the Beta VoC (B.1.351).</w:t>
      </w:r>
    </w:p>
    <w:p w:rsidR="00B71F08" w:rsidRPr="00B71F08" w:rsidRDefault="00B71F08" w:rsidP="00B71F08">
      <w:pPr>
        <w:pBdr>
          <w:top w:val="single" w:sz="6" w:space="2" w:color="D4802C"/>
          <w:left w:val="single" w:sz="6" w:space="2" w:color="D4802C"/>
        </w:pBdr>
        <w:spacing w:before="300"/>
        <w:outlineLvl w:val="2"/>
        <w:rPr>
          <w:rFonts w:eastAsia="Times New Roman" w:cstheme="minorHAnsi"/>
          <w:color w:val="333333"/>
          <w:bdr w:val="none" w:sz="0" w:space="0" w:color="auto" w:frame="1"/>
          <w:shd w:val="clear" w:color="auto" w:fill="FFFFFF"/>
          <w:lang w:eastAsia="en-GB"/>
        </w:rPr>
      </w:pPr>
      <w:r w:rsidRPr="00B71F08">
        <w:rPr>
          <w:rFonts w:eastAsia="Times New Roman" w:cstheme="minorHAnsi"/>
          <w:color w:val="333333"/>
          <w:bdr w:val="none" w:sz="0" w:space="0" w:color="auto" w:frame="1"/>
          <w:shd w:val="clear" w:color="auto" w:fill="FFFFFF"/>
          <w:lang w:eastAsia="en-GB"/>
        </w:rPr>
        <w:t>Findings</w:t>
      </w:r>
      <w:r w:rsidR="001B3852">
        <w:rPr>
          <w:rFonts w:eastAsia="Times New Roman" w:cstheme="minorHAnsi"/>
          <w:color w:val="333333"/>
          <w:bdr w:val="none" w:sz="0" w:space="0" w:color="auto" w:frame="1"/>
          <w:shd w:val="clear" w:color="auto" w:fill="FFFFFF"/>
          <w:lang w:eastAsia="en-GB"/>
        </w:rPr>
        <w:t xml:space="preserve">. </w:t>
      </w:r>
      <w:r w:rsidRPr="00B71F08">
        <w:rPr>
          <w:rFonts w:eastAsia="Times New Roman" w:cstheme="minorHAnsi"/>
          <w:color w:val="333333"/>
          <w:bdr w:val="none" w:sz="0" w:space="0" w:color="auto" w:frame="1"/>
          <w:shd w:val="clear" w:color="auto" w:fill="FFFFFF"/>
          <w:lang w:eastAsia="en-GB"/>
        </w:rPr>
        <w:t xml:space="preserve">We demonstrate that AZD2816 is immunogenic after a single dose. When AZD2816 is used as a booster dose in animals primed with a vaccine encoding the original spike protein (ChAdOx1 </w:t>
      </w:r>
      <w:r w:rsidRPr="00B71F08">
        <w:rPr>
          <w:rFonts w:eastAsia="Times New Roman" w:cstheme="minorHAnsi"/>
          <w:color w:val="333333"/>
          <w:bdr w:val="none" w:sz="0" w:space="0" w:color="auto" w:frame="1"/>
          <w:shd w:val="clear" w:color="auto" w:fill="FFFFFF"/>
          <w:lang w:eastAsia="en-GB"/>
        </w:rPr>
        <w:lastRenderedPageBreak/>
        <w:t>nCoV-19/ [AZD1222]), an increase in binding and neutralising antibodies against Beta (B.1.351), Gamma (P.1) and Delta (B.1.617.2) is observed following each additional dose. In addition, a strong and polyfunctional T cell response was measured all booster regimens.</w:t>
      </w:r>
    </w:p>
    <w:p w:rsidR="0024067F" w:rsidRPr="00FB7555" w:rsidRDefault="00B71F08" w:rsidP="00B71F08">
      <w:pPr>
        <w:pBdr>
          <w:top w:val="single" w:sz="6" w:space="2" w:color="D4802C"/>
          <w:left w:val="single" w:sz="6" w:space="2" w:color="D4802C"/>
        </w:pBdr>
        <w:spacing w:before="300"/>
        <w:outlineLvl w:val="2"/>
        <w:rPr>
          <w:rFonts w:cstheme="minorHAnsi"/>
        </w:rPr>
      </w:pPr>
      <w:r w:rsidRPr="00B71F08">
        <w:rPr>
          <w:rFonts w:eastAsia="Times New Roman" w:cstheme="minorHAnsi"/>
          <w:color w:val="333333"/>
          <w:bdr w:val="none" w:sz="0" w:space="0" w:color="auto" w:frame="1"/>
          <w:shd w:val="clear" w:color="auto" w:fill="FFFFFF"/>
          <w:lang w:eastAsia="en-GB"/>
        </w:rPr>
        <w:t>Interpretation</w:t>
      </w:r>
      <w:r w:rsidR="001B3852">
        <w:rPr>
          <w:rFonts w:eastAsia="Times New Roman" w:cstheme="minorHAnsi"/>
          <w:color w:val="333333"/>
          <w:bdr w:val="none" w:sz="0" w:space="0" w:color="auto" w:frame="1"/>
          <w:shd w:val="clear" w:color="auto" w:fill="FFFFFF"/>
          <w:lang w:eastAsia="en-GB"/>
        </w:rPr>
        <w:t xml:space="preserve">. </w:t>
      </w:r>
      <w:r w:rsidRPr="00B71F08">
        <w:rPr>
          <w:rFonts w:eastAsia="Times New Roman" w:cstheme="minorHAnsi"/>
          <w:color w:val="333333"/>
          <w:bdr w:val="none" w:sz="0" w:space="0" w:color="auto" w:frame="1"/>
          <w:shd w:val="clear" w:color="auto" w:fill="FFFFFF"/>
          <w:lang w:eastAsia="en-GB"/>
        </w:rPr>
        <w:t>Real world data is demonstrating that one or more doses of licensed SARS-CoV-2 vaccines confer reduced protection against hospitalisation and deaths caused by divergent VoC, including Omicron. Our data support the ongoing clinical development and testing of booster vaccines to increase immunity against highly mutated VoC.</w:t>
      </w:r>
      <w:r>
        <w:rPr>
          <w:rFonts w:eastAsia="Times New Roman" w:cstheme="minorHAnsi"/>
          <w:color w:val="333333"/>
          <w:bdr w:val="none" w:sz="0" w:space="0" w:color="auto" w:frame="1"/>
          <w:shd w:val="clear" w:color="auto" w:fill="FFFFFF"/>
          <w:lang w:eastAsia="en-GB"/>
        </w:rPr>
        <w:br/>
      </w:r>
      <w:r w:rsidR="00FB7555" w:rsidRPr="00FB7555">
        <w:rPr>
          <w:rFonts w:eastAsia="Times New Roman" w:cstheme="minorHAnsi"/>
          <w:color w:val="333333"/>
          <w:bdr w:val="none" w:sz="0" w:space="0" w:color="auto" w:frame="1"/>
          <w:shd w:val="clear" w:color="auto" w:fill="FFFFFF"/>
          <w:lang w:eastAsia="en-GB"/>
        </w:rPr>
        <w:t>those with a high risk of infectiousness from SARS-CoV-2, to investigate the impact of the stage and severity of disease, and to compare predictions made by influential mathematical models with findings of empirical studies.</w:t>
      </w:r>
      <w:r w:rsidR="00FB7555">
        <w:rPr>
          <w:rFonts w:eastAsia="Times New Roman" w:cstheme="minorHAnsi"/>
          <w:color w:val="333333"/>
          <w:bdr w:val="none" w:sz="0" w:space="0" w:color="auto" w:frame="1"/>
          <w:shd w:val="clear" w:color="auto" w:fill="FFFFFF"/>
          <w:lang w:eastAsia="en-GB"/>
        </w:rPr>
        <w:t xml:space="preserve">   </w:t>
      </w:r>
      <w:r w:rsidR="00FB7555" w:rsidRPr="00FB7555">
        <w:rPr>
          <w:rFonts w:eastAsia="Times New Roman" w:cstheme="minorHAnsi"/>
          <w:color w:val="333333"/>
          <w:bdr w:val="none" w:sz="0" w:space="0" w:color="auto" w:frame="1"/>
          <w:shd w:val="clear" w:color="auto" w:fill="FFFFFF"/>
          <w:lang w:eastAsia="en-GB"/>
        </w:rPr>
        <w:t>Design Linked data analysis combining empirical evidence of the accuracy of the Innova LFT, the probability of positive viral culture or transmission to secondary cases, and the distribution of viral loads of SARS-CoV-2 in individuals in different settings.</w:t>
      </w:r>
      <w:r w:rsidR="00FB7555">
        <w:rPr>
          <w:rFonts w:eastAsia="Times New Roman" w:cstheme="minorHAnsi"/>
          <w:color w:val="333333"/>
          <w:bdr w:val="none" w:sz="0" w:space="0" w:color="auto" w:frame="1"/>
          <w:shd w:val="clear" w:color="auto" w:fill="FFFFFF"/>
          <w:lang w:eastAsia="en-GB"/>
        </w:rPr>
        <w:t xml:space="preserve">   </w:t>
      </w:r>
      <w:r w:rsidR="00FB7555" w:rsidRPr="00FB7555">
        <w:rPr>
          <w:rFonts w:eastAsia="Times New Roman" w:cstheme="minorHAnsi"/>
          <w:color w:val="333333"/>
          <w:bdr w:val="none" w:sz="0" w:space="0" w:color="auto" w:frame="1"/>
          <w:shd w:val="clear" w:color="auto" w:fill="FFFFFF"/>
          <w:lang w:eastAsia="en-GB"/>
        </w:rPr>
        <w:t>Setting Testing of individuals with symptoms attending NHS Test-and-Trace centres across the UK, residents without symptoms attending municipal mass testing centres in Liverpool, and students without symptoms screened at the University of Birmingham.</w:t>
      </w:r>
      <w:r w:rsidR="00FB7555">
        <w:rPr>
          <w:rFonts w:eastAsia="Times New Roman" w:cstheme="minorHAnsi"/>
          <w:color w:val="333333"/>
          <w:bdr w:val="none" w:sz="0" w:space="0" w:color="auto" w:frame="1"/>
          <w:shd w:val="clear" w:color="auto" w:fill="FFFFFF"/>
          <w:lang w:eastAsia="en-GB"/>
        </w:rPr>
        <w:t xml:space="preserve">   </w:t>
      </w:r>
      <w:r w:rsidR="00FB7555" w:rsidRPr="00FB7555">
        <w:rPr>
          <w:rFonts w:eastAsia="Times New Roman" w:cstheme="minorHAnsi"/>
          <w:color w:val="333333"/>
          <w:bdr w:val="none" w:sz="0" w:space="0" w:color="auto" w:frame="1"/>
          <w:shd w:val="clear" w:color="auto" w:fill="FFFFFF"/>
          <w:lang w:eastAsia="en-GB"/>
        </w:rPr>
        <w:t>Participants Evidence for the sensitivity of the Innova LFT, based on 70 individuals with SARS-CoV-2 and LFT results. Infectiousness was based on viral culture rates on 246 samples (176 people with SARS-CoV-2) and secondary cases among 2 474 066 contacts; distributions of cycle threshold (Ct) values from 231 497 index individuals attending NHS Test-and-Trace centres; 70 people with SARS-CoV-2 detected in Liverpool and 62 people with SARS-CoV-2 in Birmingham (54 imputed).</w:t>
      </w:r>
      <w:r w:rsidR="00984D57">
        <w:rPr>
          <w:rFonts w:eastAsia="Times New Roman" w:cstheme="minorHAnsi"/>
          <w:color w:val="333333"/>
          <w:bdr w:val="none" w:sz="0" w:space="0" w:color="auto" w:frame="1"/>
          <w:shd w:val="clear" w:color="auto" w:fill="FFFFFF"/>
          <w:lang w:eastAsia="en-GB"/>
        </w:rPr>
        <w:t xml:space="preserve">  </w:t>
      </w:r>
      <w:r w:rsidR="00FB7555" w:rsidRPr="00FB7555">
        <w:rPr>
          <w:rFonts w:eastAsia="Times New Roman" w:cstheme="minorHAnsi"/>
          <w:color w:val="333333"/>
          <w:bdr w:val="none" w:sz="0" w:space="0" w:color="auto" w:frame="1"/>
          <w:shd w:val="clear" w:color="auto" w:fill="FFFFFF"/>
          <w:lang w:eastAsia="en-GB"/>
        </w:rPr>
        <w:t>Main outcome measures The predicted proportions who were missed by LFT and viral culture positive and missed by LFT and sources of secondary cases, in each of the three settings. Predictions were compared with those made by mathematical models.</w:t>
      </w:r>
      <w:r w:rsidR="00984D57">
        <w:rPr>
          <w:rFonts w:eastAsia="Times New Roman" w:cstheme="minorHAnsi"/>
          <w:color w:val="333333"/>
          <w:bdr w:val="none" w:sz="0" w:space="0" w:color="auto" w:frame="1"/>
          <w:shd w:val="clear" w:color="auto" w:fill="FFFFFF"/>
          <w:lang w:eastAsia="en-GB"/>
        </w:rPr>
        <w:t xml:space="preserve">  </w:t>
      </w:r>
      <w:r w:rsidR="00FB7555" w:rsidRPr="00FB7555">
        <w:rPr>
          <w:rFonts w:eastAsia="Times New Roman" w:cstheme="minorHAnsi"/>
          <w:color w:val="333333"/>
          <w:bdr w:val="none" w:sz="0" w:space="0" w:color="auto" w:frame="1"/>
          <w:shd w:val="clear" w:color="auto" w:fill="FFFFFF"/>
          <w:lang w:eastAsia="en-GB"/>
        </w:rPr>
        <w:t>Results The analysis predicted that of those with a viral culture positive result, Innova would miss 20% attending an NHS Test-and-Trace centre, 29% without symptoms attending municipal mass testing, and 81% attending university screen testing without symptoms, along with 38%, 47%, and 90% of sources of secondary cases. In comparison, two mathematical models underestimated the numbers of missed infectious individuals (8%, 10%, and 32% in the three settings for one model, whereas the assumptions from the second model made it impossible to miss an infectious individual). Owing to the paucity of usable data, the inputs to the analyses are from limited sources.</w:t>
      </w:r>
      <w:r>
        <w:rPr>
          <w:rFonts w:eastAsia="Times New Roman" w:cstheme="minorHAnsi"/>
          <w:color w:val="333333"/>
          <w:bdr w:val="none" w:sz="0" w:space="0" w:color="auto" w:frame="1"/>
          <w:shd w:val="clear" w:color="auto" w:fill="FFFFFF"/>
          <w:lang w:eastAsia="en-GB"/>
        </w:rPr>
        <w:t xml:space="preserve"> </w:t>
      </w:r>
      <w:r>
        <w:rPr>
          <w:rFonts w:eastAsia="Times New Roman" w:cstheme="minorHAnsi"/>
          <w:color w:val="333333"/>
          <w:bdr w:val="none" w:sz="0" w:space="0" w:color="auto" w:frame="1"/>
          <w:shd w:val="clear" w:color="auto" w:fill="FFFFFF"/>
          <w:lang w:eastAsia="en-GB"/>
        </w:rPr>
        <w:br/>
      </w:r>
      <w:r>
        <w:rPr>
          <w:rFonts w:eastAsia="Times New Roman" w:cstheme="minorHAnsi"/>
          <w:color w:val="333333"/>
          <w:bdr w:val="none" w:sz="0" w:space="0" w:color="auto" w:frame="1"/>
          <w:shd w:val="clear" w:color="auto" w:fill="FFFFFF"/>
          <w:lang w:eastAsia="en-GB"/>
        </w:rPr>
        <w:br/>
      </w:r>
      <w:r w:rsidR="00FB7555" w:rsidRPr="00FB7555">
        <w:rPr>
          <w:rFonts w:eastAsia="Times New Roman" w:cstheme="minorHAnsi"/>
          <w:color w:val="333333"/>
          <w:bdr w:val="none" w:sz="0" w:space="0" w:color="auto" w:frame="1"/>
          <w:shd w:val="clear" w:color="auto" w:fill="FFFFFF"/>
          <w:lang w:eastAsia="en-GB"/>
        </w:rPr>
        <w:t>Conclusions The proportion of infectious people with SARS-CoV-2 missed by LFTs is substantial enough to be of clinical importance. The proportion missed varied between settings because of different viral load distributions and is likely to be highest in those without symptoms. Key models have substantially overestimated the sensitivity of LFTs compared with empirical data. An urgent need exists for additional robust well designed and reported empirical studies from intended use settings to inform evidence based policy.</w:t>
      </w:r>
      <w:r w:rsidR="0024067F" w:rsidRPr="00FB7555">
        <w:rPr>
          <w:rFonts w:eastAsia="Times New Roman" w:cstheme="minorHAnsi"/>
          <w:color w:val="333333"/>
          <w:bdr w:val="none" w:sz="0" w:space="0" w:color="auto" w:frame="1"/>
          <w:shd w:val="clear" w:color="auto" w:fill="FFFFFF"/>
          <w:lang w:eastAsia="en-GB"/>
        </w:rPr>
        <w:br/>
      </w:r>
      <w:hyperlink r:id="rId36" w:history="1">
        <w:r w:rsidRPr="005117FC">
          <w:rPr>
            <w:rStyle w:val="Hyperlink"/>
            <w:rFonts w:cstheme="minorHAnsi"/>
          </w:rPr>
          <w:t>https://www.thelancet.com/journals/ebiom/article/PIIS2352-3964(22)00086-X/fulltext</w:t>
        </w:r>
      </w:hyperlink>
      <w:r>
        <w:rPr>
          <w:rFonts w:cstheme="minorHAnsi"/>
        </w:rPr>
        <w:t xml:space="preserve"> </w:t>
      </w:r>
    </w:p>
    <w:p w:rsidR="0024067F" w:rsidRDefault="0024067F" w:rsidP="00033BCE"/>
    <w:p w:rsidR="006B785A" w:rsidRDefault="006B785A" w:rsidP="006B785A">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B71F08" w:rsidRPr="00B71F08">
        <w:rPr>
          <w:rFonts w:eastAsiaTheme="minorEastAsia"/>
          <w:caps/>
          <w:spacing w:val="15"/>
        </w:rPr>
        <w:t>Final Analysis of Efficacy and Safety of Single-Dose Ad26.COV2.S</w:t>
      </w:r>
    </w:p>
    <w:p w:rsidR="00984D57" w:rsidRDefault="00B71F08" w:rsidP="006B785A">
      <w:pPr>
        <w:pBdr>
          <w:top w:val="single" w:sz="6" w:space="2" w:color="D4802C"/>
          <w:left w:val="single" w:sz="6" w:space="2" w:color="D4802C"/>
        </w:pBdr>
        <w:spacing w:before="300"/>
        <w:outlineLvl w:val="2"/>
        <w:rPr>
          <w:rFonts w:eastAsiaTheme="minorEastAsia"/>
          <w:caps/>
          <w:spacing w:val="15"/>
        </w:rPr>
      </w:pPr>
      <w:r>
        <w:rPr>
          <w:rFonts w:eastAsiaTheme="minorEastAsia"/>
          <w:caps/>
          <w:spacing w:val="15"/>
        </w:rPr>
        <w:lastRenderedPageBreak/>
        <w:t>nejm | 3</w:t>
      </w:r>
      <w:r w:rsidRPr="00B71F08">
        <w:rPr>
          <w:rFonts w:eastAsiaTheme="minorEastAsia"/>
          <w:caps/>
          <w:spacing w:val="15"/>
          <w:vertAlign w:val="superscript"/>
        </w:rPr>
        <w:t>rd</w:t>
      </w:r>
      <w:r>
        <w:rPr>
          <w:rFonts w:eastAsiaTheme="minorEastAsia"/>
          <w:caps/>
          <w:spacing w:val="15"/>
        </w:rPr>
        <w:t xml:space="preserve"> march </w:t>
      </w:r>
      <w:r w:rsidR="006B785A">
        <w:rPr>
          <w:rFonts w:eastAsiaTheme="minorEastAsia"/>
          <w:caps/>
          <w:spacing w:val="15"/>
        </w:rPr>
        <w:t>2022</w:t>
      </w:r>
    </w:p>
    <w:p w:rsidR="00B71F08" w:rsidRPr="00B71F08" w:rsidRDefault="00B71F08" w:rsidP="00B71F08">
      <w:pPr>
        <w:pBdr>
          <w:top w:val="single" w:sz="6" w:space="2" w:color="D4802C"/>
          <w:left w:val="single" w:sz="6" w:space="2" w:color="D4802C"/>
        </w:pBdr>
        <w:spacing w:before="300"/>
        <w:outlineLvl w:val="2"/>
        <w:rPr>
          <w:rFonts w:cstheme="minorHAnsi"/>
          <w:color w:val="333333"/>
          <w:shd w:val="clear" w:color="auto" w:fill="FFFFFF"/>
        </w:rPr>
      </w:pPr>
      <w:r w:rsidRPr="00B71F08">
        <w:rPr>
          <w:rFonts w:cstheme="minorHAnsi"/>
          <w:color w:val="333333"/>
          <w:shd w:val="clear" w:color="auto" w:fill="FFFFFF"/>
        </w:rPr>
        <w:t>Background</w:t>
      </w:r>
      <w:r w:rsidR="001B3852">
        <w:rPr>
          <w:rFonts w:cstheme="minorHAnsi"/>
          <w:color w:val="333333"/>
          <w:shd w:val="clear" w:color="auto" w:fill="FFFFFF"/>
        </w:rPr>
        <w:t xml:space="preserve">.  </w:t>
      </w:r>
      <w:r w:rsidRPr="00B71F08">
        <w:rPr>
          <w:rFonts w:cstheme="minorHAnsi"/>
          <w:color w:val="333333"/>
          <w:shd w:val="clear" w:color="auto" w:fill="FFFFFF"/>
        </w:rPr>
        <w:t>The Ad26.COV2.S vaccine was highly effective against severe–critical coronavirus disease 2019 (Covid-19), hospitalization, and death in the primary phase 3 efficacy analysis.</w:t>
      </w:r>
    </w:p>
    <w:p w:rsidR="00B71F08" w:rsidRPr="00B71F08" w:rsidRDefault="00B71F08" w:rsidP="00B71F08">
      <w:pPr>
        <w:pBdr>
          <w:top w:val="single" w:sz="6" w:space="2" w:color="D4802C"/>
          <w:left w:val="single" w:sz="6" w:space="2" w:color="D4802C"/>
        </w:pBdr>
        <w:spacing w:before="300"/>
        <w:outlineLvl w:val="2"/>
        <w:rPr>
          <w:rFonts w:cstheme="minorHAnsi"/>
          <w:color w:val="333333"/>
          <w:shd w:val="clear" w:color="auto" w:fill="FFFFFF"/>
        </w:rPr>
      </w:pPr>
      <w:r w:rsidRPr="00B71F08">
        <w:rPr>
          <w:rFonts w:cstheme="minorHAnsi"/>
          <w:color w:val="333333"/>
          <w:shd w:val="clear" w:color="auto" w:fill="FFFFFF"/>
        </w:rPr>
        <w:t>Methods</w:t>
      </w:r>
      <w:r w:rsidR="001B3852">
        <w:rPr>
          <w:rFonts w:cstheme="minorHAnsi"/>
          <w:color w:val="333333"/>
          <w:shd w:val="clear" w:color="auto" w:fill="FFFFFF"/>
        </w:rPr>
        <w:t xml:space="preserve">. </w:t>
      </w:r>
      <w:r w:rsidRPr="00B71F08">
        <w:rPr>
          <w:rFonts w:cstheme="minorHAnsi"/>
          <w:color w:val="333333"/>
          <w:shd w:val="clear" w:color="auto" w:fill="FFFFFF"/>
        </w:rPr>
        <w:t>We conducted the final analysis in the double-blind phase of our multinational, randomized, placebo-controlled trial, in which adults were assigned in a 1:1 ratio to receive single-dose Ad26.COV2.S (5×1010 viral particles) or placebo. The primary end points were vaccine efficacy against moderate to severe–critical Covid-19 with onset at least 14 days after administration and at least 28 days after administration in the per-protocol population. Safety and key secondary and exploratory end points were also assessed.</w:t>
      </w:r>
    </w:p>
    <w:p w:rsidR="00B71F08" w:rsidRPr="00B71F08" w:rsidRDefault="00B71F08" w:rsidP="00B71F08">
      <w:pPr>
        <w:pBdr>
          <w:top w:val="single" w:sz="6" w:space="2" w:color="D4802C"/>
          <w:left w:val="single" w:sz="6" w:space="2" w:color="D4802C"/>
        </w:pBdr>
        <w:spacing w:before="300"/>
        <w:outlineLvl w:val="2"/>
        <w:rPr>
          <w:rFonts w:cstheme="minorHAnsi"/>
          <w:color w:val="333333"/>
          <w:shd w:val="clear" w:color="auto" w:fill="FFFFFF"/>
        </w:rPr>
      </w:pPr>
      <w:r w:rsidRPr="00B71F08">
        <w:rPr>
          <w:rFonts w:cstheme="minorHAnsi"/>
          <w:color w:val="333333"/>
          <w:shd w:val="clear" w:color="auto" w:fill="FFFFFF"/>
        </w:rPr>
        <w:t>Results</w:t>
      </w:r>
      <w:r w:rsidR="001B3852">
        <w:rPr>
          <w:rFonts w:cstheme="minorHAnsi"/>
          <w:color w:val="333333"/>
          <w:shd w:val="clear" w:color="auto" w:fill="FFFFFF"/>
        </w:rPr>
        <w:t xml:space="preserve">. </w:t>
      </w:r>
      <w:r w:rsidRPr="00B71F08">
        <w:rPr>
          <w:rFonts w:cstheme="minorHAnsi"/>
          <w:color w:val="333333"/>
          <w:shd w:val="clear" w:color="auto" w:fill="FFFFFF"/>
        </w:rPr>
        <w:t>Median follow-up in this analysis was 4 months; 8940 participants had at least 6 months of follow-up. In the per-protocol population (39,185 participants), vaccine efficacy against moderate to severe–critical Covid-19 at least 14 days after administration was 56.3% (95% confidence interval [CI], 51.3 to 60.8; 484 cases in the vaccine group vs. 1067 in the placebo group); at least 28 days after administration, vaccine efficacy was 52.9% (95% CI, 47.1 to 58.1; 433 cases in the vaccine group vs. 883 in the placebo group). Efficacy in the United States, primarily against the reference strain (B.1.D614G) and the B.1.1.7 (alpha) variant, was 69.7% (95% CI, 60.7 to 76.9); efficacy was reduced elsewhere against the P.1 (gamma), C.37 (lambda), and B.1.621 (mu) variants. Efficacy was 74.6% (95% CI, 64.7 to 82.1) against severe–critical Covid-19 (with only 4 severe–critical cases caused by the B.1.617.2 [delta] variant), 75.6% (95% CI, 54.3 to 88.0) against Covid-19 leading to medical intervention (including hospitalization), and 82.8% (95% CI, 40.5 to 96.8) against Covid-19–related death, with protection lasting 6 months or longer. Efficacy against any severe acute respiratory syndrome coronavirus 2 (SARS-CoV-2) infection was 41.7% (95% CI, 36.3 to 46.7). Ad26.COV2.S was associated with mainly mild-to-moderate adverse events, and no new safety concerns were identified.</w:t>
      </w:r>
    </w:p>
    <w:p w:rsidR="006B785A" w:rsidRDefault="00B71F08" w:rsidP="00B71F08">
      <w:pPr>
        <w:pBdr>
          <w:top w:val="single" w:sz="6" w:space="2" w:color="D4802C"/>
          <w:left w:val="single" w:sz="6" w:space="2" w:color="D4802C"/>
        </w:pBdr>
        <w:spacing w:before="300"/>
        <w:outlineLvl w:val="2"/>
      </w:pPr>
      <w:r w:rsidRPr="00B71F08">
        <w:rPr>
          <w:rFonts w:cstheme="minorHAnsi"/>
          <w:color w:val="333333"/>
          <w:shd w:val="clear" w:color="auto" w:fill="FFFFFF"/>
        </w:rPr>
        <w:t>Conclusions</w:t>
      </w:r>
      <w:r w:rsidR="001B3852">
        <w:rPr>
          <w:rFonts w:cstheme="minorHAnsi"/>
          <w:color w:val="333333"/>
          <w:shd w:val="clear" w:color="auto" w:fill="FFFFFF"/>
        </w:rPr>
        <w:t xml:space="preserve">. </w:t>
      </w:r>
      <w:r w:rsidRPr="00B71F08">
        <w:rPr>
          <w:rFonts w:cstheme="minorHAnsi"/>
          <w:color w:val="333333"/>
          <w:shd w:val="clear" w:color="auto" w:fill="FFFFFF"/>
        </w:rPr>
        <w:t>A single dose of Ad26.COV2.S provided 52.9% protection against moderate to severe–critical Covid-19. Protection varied according to variant; higher protection was observed against severe Covid-19, medical intervention, and death than against other end points and lasted for 6 months or longer.</w:t>
      </w:r>
      <w:r>
        <w:rPr>
          <w:rFonts w:cstheme="minorHAnsi"/>
          <w:color w:val="333333"/>
          <w:shd w:val="clear" w:color="auto" w:fill="FFFFFF"/>
        </w:rPr>
        <w:br/>
      </w:r>
      <w:hyperlink r:id="rId37" w:history="1">
        <w:r w:rsidRPr="005117FC">
          <w:rPr>
            <w:rStyle w:val="Hyperlink"/>
            <w:rFonts w:cstheme="minorHAnsi"/>
            <w:shd w:val="clear" w:color="auto" w:fill="FFFFFF"/>
          </w:rPr>
          <w:t>https://www.nejm.org/doi/full/10.1056/NEJMoa2117608</w:t>
        </w:r>
      </w:hyperlink>
      <w:r>
        <w:rPr>
          <w:rFonts w:cstheme="minorHAnsi"/>
          <w:color w:val="333333"/>
          <w:shd w:val="clear" w:color="auto" w:fill="FFFFFF"/>
        </w:rPr>
        <w:t xml:space="preserve"> </w:t>
      </w:r>
    </w:p>
    <w:p w:rsidR="00984D57" w:rsidRDefault="00984D57" w:rsidP="00033BCE"/>
    <w:p w:rsidR="006B785A" w:rsidRDefault="006B785A" w:rsidP="006B785A">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DC0C6D" w:rsidRPr="00DC0C6D">
        <w:rPr>
          <w:rFonts w:eastAsiaTheme="minorEastAsia"/>
          <w:caps/>
          <w:spacing w:val="15"/>
        </w:rPr>
        <w:t>Vaccine approval before phase 3 trial results: a consequence of vaccine access inequity</w:t>
      </w:r>
      <w:r w:rsidR="00DC0C6D">
        <w:rPr>
          <w:rFonts w:eastAsiaTheme="minorEastAsia"/>
          <w:caps/>
          <w:spacing w:val="15"/>
        </w:rPr>
        <w:t xml:space="preserve"> [correspondence]</w:t>
      </w:r>
    </w:p>
    <w:p w:rsidR="006B785A" w:rsidRDefault="00DC0C6D" w:rsidP="00DC0C6D">
      <w:pPr>
        <w:pBdr>
          <w:top w:val="single" w:sz="6" w:space="2" w:color="D4802C"/>
          <w:left w:val="single" w:sz="6" w:space="2" w:color="D4802C"/>
        </w:pBdr>
        <w:spacing w:before="300"/>
        <w:outlineLvl w:val="2"/>
      </w:pPr>
      <w:r>
        <w:rPr>
          <w:rFonts w:eastAsiaTheme="minorEastAsia"/>
          <w:caps/>
          <w:spacing w:val="15"/>
        </w:rPr>
        <w:t>the lancet| 2</w:t>
      </w:r>
      <w:r w:rsidRPr="00DC0C6D">
        <w:rPr>
          <w:rFonts w:eastAsiaTheme="minorEastAsia"/>
          <w:caps/>
          <w:spacing w:val="15"/>
          <w:vertAlign w:val="superscript"/>
        </w:rPr>
        <w:t>nd</w:t>
      </w:r>
      <w:r>
        <w:rPr>
          <w:rFonts w:eastAsiaTheme="minorEastAsia"/>
          <w:caps/>
          <w:spacing w:val="15"/>
        </w:rPr>
        <w:t xml:space="preserve"> march</w:t>
      </w:r>
      <w:r w:rsidR="006B785A">
        <w:rPr>
          <w:rFonts w:eastAsiaTheme="minorEastAsia"/>
          <w:caps/>
          <w:spacing w:val="15"/>
        </w:rPr>
        <w:t xml:space="preserve"> 2022</w:t>
      </w:r>
      <w:r w:rsidR="006B785A">
        <w:rPr>
          <w:rFonts w:eastAsiaTheme="minorEastAsia"/>
          <w:caps/>
          <w:spacing w:val="15"/>
        </w:rPr>
        <w:br/>
      </w:r>
      <w:r w:rsidR="00984D57">
        <w:rPr>
          <w:rFonts w:cstheme="minorHAnsi"/>
          <w:color w:val="333333"/>
          <w:shd w:val="clear" w:color="auto" w:fill="FFFFFF"/>
        </w:rPr>
        <w:br/>
      </w:r>
      <w:r w:rsidRPr="00DC0C6D">
        <w:rPr>
          <w:rFonts w:cstheme="minorHAnsi"/>
          <w:color w:val="333333"/>
          <w:shd w:val="clear" w:color="auto" w:fill="FFFFFF"/>
        </w:rPr>
        <w:t>The final phase 3 clinical data for CanSino Biologics' adenovirus type 5 vector vaccine sho</w:t>
      </w:r>
      <w:r w:rsidR="001B3852">
        <w:rPr>
          <w:rFonts w:cstheme="minorHAnsi"/>
          <w:color w:val="333333"/>
          <w:shd w:val="clear" w:color="auto" w:fill="FFFFFF"/>
        </w:rPr>
        <w:t xml:space="preserve">w that Ad5-nCoV is efficacious. </w:t>
      </w:r>
      <w:r w:rsidRPr="00DC0C6D">
        <w:rPr>
          <w:rFonts w:cstheme="minorHAnsi"/>
          <w:color w:val="333333"/>
          <w:shd w:val="clear" w:color="auto" w:fill="FFFFFF"/>
        </w:rPr>
        <w:t xml:space="preserve">However, emergency approval was granted in ten countries before data on its </w:t>
      </w:r>
      <w:r w:rsidRPr="00DC0C6D">
        <w:rPr>
          <w:rFonts w:cstheme="minorHAnsi"/>
          <w:color w:val="333333"/>
          <w:shd w:val="clear" w:color="auto" w:fill="FFFFFF"/>
        </w:rPr>
        <w:lastRenderedPageBreak/>
        <w:t xml:space="preserve">efficacy were available, even though other </w:t>
      </w:r>
      <w:r w:rsidR="001B3852">
        <w:rPr>
          <w:rFonts w:cstheme="minorHAnsi"/>
          <w:color w:val="333333"/>
          <w:shd w:val="clear" w:color="auto" w:fill="FFFFFF"/>
        </w:rPr>
        <w:t xml:space="preserve">vaccines were already approved. </w:t>
      </w:r>
      <w:r w:rsidRPr="00DC0C6D">
        <w:rPr>
          <w:rFonts w:cstheme="minorHAnsi"/>
          <w:color w:val="333333"/>
          <w:shd w:val="clear" w:color="auto" w:fill="FFFFFF"/>
        </w:rPr>
        <w:t xml:space="preserve"> If the results of the trial had been unfavourable, millions of people would have been vaccinated and granted a false sense of protection. If this scenario had happened, the decision to approve the vaccine for emergency use would have been an unforgivable one, given other proven vaccines existed at the time. The authorisation of the unproven vaccine at the time, an already criticisable decision, was the consequence of the COVID-19 pandemic (and governments) aggravating the previously existing health inequities between and within countries</w:t>
      </w:r>
      <w:r w:rsidR="00984D57">
        <w:rPr>
          <w:rFonts w:cstheme="minorHAnsi"/>
          <w:color w:val="333333"/>
          <w:shd w:val="clear" w:color="auto" w:fill="FFFFFF"/>
        </w:rPr>
        <w:br/>
      </w:r>
      <w:hyperlink r:id="rId38" w:history="1">
        <w:r w:rsidRPr="005117FC">
          <w:rPr>
            <w:rStyle w:val="Hyperlink"/>
          </w:rPr>
          <w:t>https://www.thelancet.com/journals/lancet/article/PIIS0140-6736(22)00164-7/fulltext</w:t>
        </w:r>
      </w:hyperlink>
      <w:r>
        <w:t xml:space="preserve"> </w:t>
      </w:r>
    </w:p>
    <w:p w:rsidR="006B785A" w:rsidRDefault="006B785A" w:rsidP="00033BCE"/>
    <w:p w:rsidR="006B785A" w:rsidRDefault="006B785A" w:rsidP="00DC0C6D">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DC0C6D" w:rsidRPr="00DC0C6D">
        <w:rPr>
          <w:rFonts w:eastAsiaTheme="minorEastAsia"/>
          <w:caps/>
          <w:spacing w:val="15"/>
        </w:rPr>
        <w:t>Travel measures in the SARS-CoV-2 variant era need clear objectives</w:t>
      </w:r>
    </w:p>
    <w:p w:rsidR="00DC0C6D" w:rsidRPr="001B3852" w:rsidRDefault="00DC0C6D" w:rsidP="00DC0C6D">
      <w:pPr>
        <w:pBdr>
          <w:top w:val="single" w:sz="6" w:space="2" w:color="D4802C"/>
          <w:left w:val="single" w:sz="6" w:space="2" w:color="D4802C"/>
        </w:pBdr>
        <w:spacing w:before="300"/>
        <w:outlineLvl w:val="2"/>
        <w:rPr>
          <w:rFonts w:cstheme="minorHAnsi"/>
          <w:color w:val="333333"/>
        </w:rPr>
      </w:pPr>
      <w:r>
        <w:rPr>
          <w:rFonts w:eastAsiaTheme="minorEastAsia"/>
          <w:caps/>
          <w:spacing w:val="15"/>
        </w:rPr>
        <w:t>the lancet | 2</w:t>
      </w:r>
      <w:r w:rsidRPr="00DC0C6D">
        <w:rPr>
          <w:rFonts w:eastAsiaTheme="minorEastAsia"/>
          <w:caps/>
          <w:spacing w:val="15"/>
          <w:vertAlign w:val="superscript"/>
        </w:rPr>
        <w:t>nd</w:t>
      </w:r>
      <w:r>
        <w:rPr>
          <w:rFonts w:eastAsiaTheme="minorEastAsia"/>
          <w:caps/>
          <w:spacing w:val="15"/>
        </w:rPr>
        <w:t xml:space="preserve"> march</w:t>
      </w:r>
      <w:r w:rsidR="006B785A">
        <w:rPr>
          <w:rFonts w:eastAsiaTheme="minorEastAsia"/>
          <w:caps/>
          <w:spacing w:val="15"/>
        </w:rPr>
        <w:t xml:space="preserve"> 2022</w:t>
      </w:r>
      <w:r w:rsidR="00984D57">
        <w:rPr>
          <w:rFonts w:eastAsiaTheme="minorEastAsia"/>
          <w:caps/>
          <w:spacing w:val="15"/>
        </w:rPr>
        <w:br/>
      </w:r>
      <w:r>
        <w:rPr>
          <w:rFonts w:cstheme="minorHAnsi"/>
          <w:color w:val="333333"/>
        </w:rPr>
        <w:br/>
      </w:r>
      <w:r w:rsidRPr="001B3852">
        <w:rPr>
          <w:rFonts w:cstheme="minorHAnsi"/>
          <w:color w:val="333333"/>
        </w:rPr>
        <w:t>The rapid global spread of new SARS-CoV-2 variants despite travel restrictions has revealed deficiencies in existing strategi</w:t>
      </w:r>
      <w:r w:rsidR="0061137C">
        <w:rPr>
          <w:rFonts w:cstheme="minorHAnsi"/>
          <w:color w:val="333333"/>
        </w:rPr>
        <w:t>es and a need to evaluate them.</w:t>
      </w:r>
    </w:p>
    <w:p w:rsidR="006B785A" w:rsidRDefault="00DC0C6D" w:rsidP="00DC0C6D">
      <w:pPr>
        <w:pBdr>
          <w:top w:val="single" w:sz="6" w:space="2" w:color="D4802C"/>
          <w:left w:val="single" w:sz="6" w:space="2" w:color="D4802C"/>
        </w:pBdr>
        <w:spacing w:before="300"/>
        <w:outlineLvl w:val="2"/>
      </w:pPr>
      <w:r w:rsidRPr="001B3852">
        <w:rPr>
          <w:rFonts w:cstheme="minorHAnsi"/>
          <w:color w:val="333333"/>
        </w:rPr>
        <w:t>Such strategies—eg, vaccine passports, reactive flight bans, isolation of travellers who test positive for SARS-CoV-2 or blanket quarantines, and major changes to travel protocols—have often had weak accompanying justifications. Many governments continue to adapt various combinations of international travel measures and, increasingly, scale them back (figure) without stating clear objectives or the evidence behind them. In an era of SARS-CoV-2 variants and for future pandemic preparedness, there is a need for a transparent and evidence-based approach to travel strategies, supported by the development of clear international standards.</w:t>
      </w:r>
      <w:r w:rsidR="00984D57">
        <w:rPr>
          <w:rFonts w:ascii="Helvetica" w:hAnsi="Helvetica"/>
          <w:color w:val="333333"/>
        </w:rPr>
        <w:br/>
      </w:r>
      <w:hyperlink r:id="rId39" w:history="1">
        <w:r w:rsidRPr="005117FC">
          <w:rPr>
            <w:rStyle w:val="Hyperlink"/>
          </w:rPr>
          <w:t>https://www.thelancet.com/journals/lancet/article/PIIS0140-6736(22)00366-X/fulltext</w:t>
        </w:r>
      </w:hyperlink>
      <w:r>
        <w:t xml:space="preserve"> </w:t>
      </w:r>
    </w:p>
    <w:p w:rsidR="006B785A" w:rsidRDefault="006B785A" w:rsidP="00033BCE"/>
    <w:p w:rsidR="006B785A" w:rsidRDefault="006B785A" w:rsidP="006B785A">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0F21A6" w:rsidRPr="000F21A6">
        <w:rPr>
          <w:rFonts w:eastAsiaTheme="minorEastAsia"/>
          <w:caps/>
          <w:spacing w:val="15"/>
        </w:rPr>
        <w:t>Comparison of vaccine efficacy must be based on good clinical data</w:t>
      </w:r>
    </w:p>
    <w:p w:rsidR="000F21A6" w:rsidRPr="001B3852" w:rsidRDefault="000F21A6" w:rsidP="000F21A6">
      <w:pPr>
        <w:pBdr>
          <w:top w:val="single" w:sz="6" w:space="2" w:color="D4802C"/>
          <w:left w:val="single" w:sz="6" w:space="2" w:color="D4802C"/>
        </w:pBdr>
        <w:spacing w:before="300"/>
        <w:outlineLvl w:val="2"/>
        <w:rPr>
          <w:rFonts w:eastAsia="Times New Roman" w:cstheme="minorHAnsi"/>
          <w:color w:val="333333"/>
          <w:bdr w:val="none" w:sz="0" w:space="0" w:color="auto" w:frame="1"/>
          <w:shd w:val="clear" w:color="auto" w:fill="FFFFFF"/>
          <w:lang w:eastAsia="en-GB"/>
        </w:rPr>
      </w:pPr>
      <w:r>
        <w:rPr>
          <w:rFonts w:eastAsiaTheme="minorEastAsia"/>
          <w:caps/>
          <w:spacing w:val="15"/>
        </w:rPr>
        <w:t>the lancet western pacific | 1</w:t>
      </w:r>
      <w:r w:rsidRPr="000F21A6">
        <w:rPr>
          <w:rFonts w:eastAsiaTheme="minorEastAsia"/>
          <w:caps/>
          <w:spacing w:val="15"/>
          <w:vertAlign w:val="superscript"/>
        </w:rPr>
        <w:t>st</w:t>
      </w:r>
      <w:r>
        <w:rPr>
          <w:rFonts w:eastAsiaTheme="minorEastAsia"/>
          <w:caps/>
          <w:spacing w:val="15"/>
        </w:rPr>
        <w:t xml:space="preserve"> march</w:t>
      </w:r>
      <w:r w:rsidR="006B785A">
        <w:rPr>
          <w:rFonts w:eastAsiaTheme="minorEastAsia"/>
          <w:caps/>
          <w:spacing w:val="15"/>
        </w:rPr>
        <w:t xml:space="preserve"> 2022</w:t>
      </w:r>
      <w:r w:rsidR="00984D57">
        <w:rPr>
          <w:rFonts w:eastAsiaTheme="minorEastAsia"/>
          <w:caps/>
          <w:spacing w:val="15"/>
        </w:rPr>
        <w:br/>
      </w:r>
      <w:r w:rsidR="00984D57">
        <w:rPr>
          <w:rFonts w:eastAsiaTheme="minorEastAsia"/>
          <w:caps/>
          <w:spacing w:val="15"/>
        </w:rPr>
        <w:br/>
      </w:r>
      <w:r w:rsidRPr="001B3852">
        <w:rPr>
          <w:rFonts w:eastAsia="Times New Roman" w:cstheme="minorHAnsi"/>
          <w:color w:val="333333"/>
          <w:bdr w:val="none" w:sz="0" w:space="0" w:color="auto" w:frame="1"/>
          <w:shd w:val="clear" w:color="auto" w:fill="FFFFFF"/>
          <w:lang w:eastAsia="en-GB"/>
        </w:rPr>
        <w:t>The conclusion by Nur Asheila et al that “the mortality rate of those who received inactivated vaccine was higher than the recipients of the BNT162b2 and ChAdOx1 vaccines” cannot be supported by their data because patients receiving the 3 types of</w:t>
      </w:r>
      <w:r w:rsidR="001B3852" w:rsidRPr="001B3852">
        <w:rPr>
          <w:rFonts w:eastAsia="Times New Roman" w:cstheme="minorHAnsi"/>
          <w:color w:val="333333"/>
          <w:bdr w:val="none" w:sz="0" w:space="0" w:color="auto" w:frame="1"/>
          <w:shd w:val="clear" w:color="auto" w:fill="FFFFFF"/>
          <w:lang w:eastAsia="en-GB"/>
        </w:rPr>
        <w:t xml:space="preserve"> vaccine may not be comparable.</w:t>
      </w:r>
    </w:p>
    <w:p w:rsidR="000F21A6" w:rsidRPr="001B3852" w:rsidRDefault="000F21A6" w:rsidP="000F21A6">
      <w:pPr>
        <w:pBdr>
          <w:top w:val="single" w:sz="6" w:space="2" w:color="D4802C"/>
          <w:left w:val="single" w:sz="6" w:space="2" w:color="D4802C"/>
        </w:pBdr>
        <w:spacing w:before="300"/>
        <w:outlineLvl w:val="2"/>
        <w:rPr>
          <w:rFonts w:eastAsia="Times New Roman" w:cstheme="minorHAnsi"/>
          <w:color w:val="333333"/>
          <w:bdr w:val="none" w:sz="0" w:space="0" w:color="auto" w:frame="1"/>
          <w:shd w:val="clear" w:color="auto" w:fill="FFFFFF"/>
          <w:lang w:eastAsia="en-GB"/>
        </w:rPr>
      </w:pPr>
      <w:r w:rsidRPr="001B3852">
        <w:rPr>
          <w:rFonts w:eastAsia="Times New Roman" w:cstheme="minorHAnsi"/>
          <w:color w:val="333333"/>
          <w:bdr w:val="none" w:sz="0" w:space="0" w:color="auto" w:frame="1"/>
          <w:shd w:val="clear" w:color="auto" w:fill="FFFFFF"/>
          <w:lang w:eastAsia="en-GB"/>
        </w:rPr>
        <w:t xml:space="preserve"> The authors in fact noted that in their sample,“vaccine allocation was not entirely random”. They can correct this limitation by applying statistical tests on the baseline characteristics of the 3 patient groups, especially the number and severity of co-morbidities, to see if indeed comparison across the 3 groups is valid. There is good evidence that va</w:t>
      </w:r>
      <w:r w:rsidR="0061137C">
        <w:rPr>
          <w:rFonts w:eastAsia="Times New Roman" w:cstheme="minorHAnsi"/>
          <w:color w:val="333333"/>
          <w:bdr w:val="none" w:sz="0" w:space="0" w:color="auto" w:frame="1"/>
          <w:shd w:val="clear" w:color="auto" w:fill="FFFFFF"/>
          <w:lang w:eastAsia="en-GB"/>
        </w:rPr>
        <w:t>ccine efficacy drops with time.</w:t>
      </w:r>
    </w:p>
    <w:p w:rsidR="006B785A" w:rsidRPr="001B3852" w:rsidRDefault="000F21A6" w:rsidP="000F21A6">
      <w:pPr>
        <w:pBdr>
          <w:top w:val="single" w:sz="6" w:space="2" w:color="D4802C"/>
          <w:left w:val="single" w:sz="6" w:space="2" w:color="D4802C"/>
        </w:pBdr>
        <w:spacing w:before="300"/>
        <w:outlineLvl w:val="2"/>
        <w:rPr>
          <w:rFonts w:eastAsia="Times New Roman" w:cstheme="minorHAnsi"/>
          <w:color w:val="333333"/>
          <w:bdr w:val="none" w:sz="0" w:space="0" w:color="auto" w:frame="1"/>
          <w:shd w:val="clear" w:color="auto" w:fill="FFFFFF"/>
          <w:lang w:eastAsia="en-GB"/>
        </w:rPr>
      </w:pPr>
      <w:r w:rsidRPr="001B3852">
        <w:rPr>
          <w:rFonts w:eastAsia="Times New Roman" w:cstheme="minorHAnsi"/>
          <w:color w:val="333333"/>
          <w:bdr w:val="none" w:sz="0" w:space="0" w:color="auto" w:frame="1"/>
          <w:shd w:val="clear" w:color="auto" w:fill="FFFFFF"/>
          <w:lang w:eastAsia="en-GB"/>
        </w:rPr>
        <w:lastRenderedPageBreak/>
        <w:t>Therefore their conclusion is further weakened because we do not know the time interval from vaccination to death in their study population. For any comparison of vaccine efficacy to be valid, we must be sure to compare similar time intervals after full vaccination. Finally their logic defying result in the inactivated vaccine group, showing fully vaccinated patients to have higher mortality than those partially vaccinated, suggests that sample size is too small to correct for important mortality affecting bias in this population group. After all, in actual community use, total Covid-19 deaths per million is lower in Laos (59 deaths per million) which uses inactivated vaccines for a majority of its population compared to richer regional neighbour Singapore (154 deaths per million) with its mRNA based program.</w:t>
      </w:r>
      <w:r w:rsidR="00984D57" w:rsidRPr="001B3852">
        <w:rPr>
          <w:rFonts w:eastAsia="Times New Roman" w:cstheme="minorHAnsi"/>
          <w:color w:val="333333"/>
          <w:bdr w:val="none" w:sz="0" w:space="0" w:color="auto" w:frame="1"/>
          <w:shd w:val="clear" w:color="auto" w:fill="FFFFFF"/>
          <w:lang w:eastAsia="en-GB"/>
        </w:rPr>
        <w:br/>
      </w:r>
      <w:hyperlink r:id="rId40" w:history="1">
        <w:r w:rsidRPr="001B3852">
          <w:rPr>
            <w:rStyle w:val="Hyperlink"/>
            <w:rFonts w:eastAsia="Times New Roman" w:cstheme="minorHAnsi"/>
            <w:bdr w:val="none" w:sz="0" w:space="0" w:color="auto" w:frame="1"/>
            <w:shd w:val="clear" w:color="auto" w:fill="FFFFFF"/>
            <w:lang w:eastAsia="en-GB"/>
          </w:rPr>
          <w:t>https://www.thelancet.com/journals/lanwpc/article/PIIS2666-6065(22)00025-6/fulltext</w:t>
        </w:r>
      </w:hyperlink>
      <w:r w:rsidRPr="001B3852">
        <w:rPr>
          <w:rFonts w:eastAsia="Times New Roman" w:cstheme="minorHAnsi"/>
          <w:color w:val="333333"/>
          <w:bdr w:val="none" w:sz="0" w:space="0" w:color="auto" w:frame="1"/>
          <w:shd w:val="clear" w:color="auto" w:fill="FFFFFF"/>
          <w:lang w:eastAsia="en-GB"/>
        </w:rPr>
        <w:t xml:space="preserve"> </w:t>
      </w:r>
    </w:p>
    <w:p w:rsidR="00984D57" w:rsidRDefault="00984D57" w:rsidP="00984D57">
      <w:pPr>
        <w:spacing w:after="300" w:line="240" w:lineRule="auto"/>
        <w:rPr>
          <w:rFonts w:ascii="Helvetica" w:eastAsia="Times New Roman" w:hAnsi="Helvetica" w:cs="Times New Roman"/>
          <w:color w:val="333333"/>
          <w:sz w:val="24"/>
          <w:szCs w:val="24"/>
          <w:bdr w:val="none" w:sz="0" w:space="0" w:color="auto" w:frame="1"/>
          <w:shd w:val="clear" w:color="auto" w:fill="FFFFFF"/>
          <w:lang w:eastAsia="en-GB"/>
        </w:rPr>
      </w:pPr>
    </w:p>
    <w:p w:rsidR="00984D57" w:rsidRDefault="006B785A" w:rsidP="00E12CC9">
      <w:pPr>
        <w:pBdr>
          <w:top w:val="single" w:sz="6" w:space="2" w:color="D4802C"/>
          <w:left w:val="single" w:sz="6" w:space="2" w:color="D4802C"/>
        </w:pBdr>
        <w:spacing w:before="300"/>
        <w:outlineLvl w:val="2"/>
        <w:rPr>
          <w:rFonts w:ascii="Helvetica" w:eastAsia="Times New Roman" w:hAnsi="Helvetica" w:cs="Times New Roman"/>
          <w:color w:val="333333"/>
          <w:sz w:val="24"/>
          <w:szCs w:val="24"/>
          <w:bdr w:val="none" w:sz="0" w:space="0" w:color="auto" w:frame="1"/>
          <w:shd w:val="clear" w:color="auto" w:fill="FFFFFF"/>
          <w:lang w:eastAsia="en-GB"/>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E12CC9" w:rsidRPr="00E12CC9">
        <w:rPr>
          <w:rFonts w:eastAsiaTheme="minorEastAsia"/>
          <w:caps/>
          <w:spacing w:val="15"/>
        </w:rPr>
        <w:t>SARS-CoV-2 Laboratory-Developed TestsIntegrity Restored</w:t>
      </w:r>
      <w:r w:rsidR="00984D57">
        <w:rPr>
          <w:rFonts w:eastAsiaTheme="minorEastAsia"/>
          <w:caps/>
          <w:spacing w:val="15"/>
        </w:rPr>
        <w:br/>
      </w:r>
      <w:r w:rsidR="00984D57">
        <w:rPr>
          <w:rFonts w:eastAsiaTheme="minorEastAsia"/>
          <w:caps/>
          <w:spacing w:val="15"/>
        </w:rPr>
        <w:br/>
      </w:r>
      <w:r w:rsidR="00E12CC9">
        <w:rPr>
          <w:rFonts w:eastAsiaTheme="minorEastAsia"/>
          <w:caps/>
          <w:spacing w:val="15"/>
        </w:rPr>
        <w:t>jama | 4</w:t>
      </w:r>
      <w:r w:rsidR="00E12CC9" w:rsidRPr="00E12CC9">
        <w:rPr>
          <w:rFonts w:eastAsiaTheme="minorEastAsia"/>
          <w:caps/>
          <w:spacing w:val="15"/>
          <w:vertAlign w:val="superscript"/>
        </w:rPr>
        <w:t>th</w:t>
      </w:r>
      <w:r w:rsidR="00E12CC9">
        <w:rPr>
          <w:rFonts w:eastAsiaTheme="minorEastAsia"/>
          <w:caps/>
          <w:spacing w:val="15"/>
        </w:rPr>
        <w:t xml:space="preserve"> march</w:t>
      </w:r>
      <w:r>
        <w:rPr>
          <w:rFonts w:eastAsiaTheme="minorEastAsia"/>
          <w:caps/>
          <w:spacing w:val="15"/>
        </w:rPr>
        <w:t xml:space="preserve"> 2022</w:t>
      </w:r>
      <w:r w:rsidR="00984D57">
        <w:rPr>
          <w:rFonts w:eastAsiaTheme="minorEastAsia"/>
          <w:caps/>
          <w:spacing w:val="15"/>
        </w:rPr>
        <w:t xml:space="preserve"> </w:t>
      </w:r>
      <w:r w:rsidR="00984D57">
        <w:rPr>
          <w:rFonts w:eastAsiaTheme="minorEastAsia"/>
          <w:caps/>
          <w:spacing w:val="15"/>
        </w:rPr>
        <w:br/>
      </w:r>
      <w:r w:rsidR="00984D57">
        <w:rPr>
          <w:rFonts w:eastAsiaTheme="minorEastAsia"/>
          <w:caps/>
          <w:spacing w:val="15"/>
        </w:rPr>
        <w:br/>
      </w:r>
      <w:r w:rsidR="00E12CC9">
        <w:rPr>
          <w:rFonts w:cstheme="minorHAnsi"/>
          <w:color w:val="333333"/>
        </w:rPr>
        <w:t>O</w:t>
      </w:r>
      <w:r w:rsidR="00E12CC9" w:rsidRPr="00E12CC9">
        <w:rPr>
          <w:rFonts w:cstheme="minorHAnsi"/>
          <w:color w:val="333333"/>
        </w:rPr>
        <w:t>n November 15, 2021, the US Department of Health and Human Services (HHS) rescinded a Trump-era policy that had directed the US Food and Drug Administration (FDA) to discontinue the premarket reviews of laboratory-developed tests (LDTs), including those for SARS-CoV-2.1 In a statement detailing the reversal, HHS Secretary Xavier Becerra noted that the policy “limited FDA’s ability to address certain problematic COVID-19 tests.”1 Secretary Becerra also noted that restoring the integrity of the regulatory process required that the FDA reinstate its “longstanding approach” to the oversight of the LDTs.1 Given the ever-growing demand for LDTs for detecting SARS-CoV-2, the restoration of integrity to the FDA review process could not be more timely. In this Viewpoint, we review the regulatory oversight of the LDTs, discuss its recent policy permutations, and explore potential future considerations.</w:t>
      </w:r>
      <w:r w:rsidR="00E12CC9">
        <w:rPr>
          <w:rFonts w:cstheme="minorHAnsi"/>
          <w:color w:val="333333"/>
        </w:rPr>
        <w:t xml:space="preserve">         </w:t>
      </w:r>
      <w:r w:rsidR="00E12CC9">
        <w:rPr>
          <w:rFonts w:cstheme="minorHAnsi"/>
          <w:color w:val="333333"/>
        </w:rPr>
        <w:br/>
      </w:r>
      <w:hyperlink r:id="rId41" w:history="1">
        <w:r w:rsidR="00E12CC9" w:rsidRPr="001B3852">
          <w:rPr>
            <w:rStyle w:val="Hyperlink"/>
            <w:rFonts w:eastAsia="Times New Roman" w:cstheme="minorHAnsi"/>
            <w:bdr w:val="none" w:sz="0" w:space="0" w:color="auto" w:frame="1"/>
            <w:shd w:val="clear" w:color="auto" w:fill="FFFFFF"/>
            <w:lang w:eastAsia="en-GB"/>
          </w:rPr>
          <w:t>https://jamanetwork.com/journals/jama/fullarticle/2789917</w:t>
        </w:r>
      </w:hyperlink>
      <w:r w:rsidR="00E12CC9" w:rsidRPr="001B3852">
        <w:rPr>
          <w:rFonts w:eastAsia="Times New Roman" w:cstheme="minorHAnsi"/>
          <w:color w:val="333333"/>
          <w:bdr w:val="none" w:sz="0" w:space="0" w:color="auto" w:frame="1"/>
          <w:shd w:val="clear" w:color="auto" w:fill="FFFFFF"/>
          <w:lang w:eastAsia="en-GB"/>
        </w:rPr>
        <w:t xml:space="preserve"> </w:t>
      </w:r>
    </w:p>
    <w:p w:rsidR="00984D57" w:rsidRDefault="00984D57" w:rsidP="00EB7EBD">
      <w:pPr>
        <w:rPr>
          <w:rFonts w:ascii="Helvetica" w:eastAsia="Times New Roman" w:hAnsi="Helvetica" w:cs="Times New Roman"/>
          <w:color w:val="333333"/>
          <w:sz w:val="24"/>
          <w:szCs w:val="24"/>
          <w:bdr w:val="none" w:sz="0" w:space="0" w:color="auto" w:frame="1"/>
          <w:shd w:val="clear" w:color="auto" w:fill="FFFFFF"/>
          <w:lang w:eastAsia="en-GB"/>
        </w:rPr>
      </w:pPr>
    </w:p>
    <w:p w:rsidR="006B785A" w:rsidRDefault="006B785A" w:rsidP="006B785A">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AA4410" w:rsidRPr="00AA4410">
        <w:rPr>
          <w:rFonts w:eastAsiaTheme="minorEastAsia"/>
          <w:caps/>
          <w:spacing w:val="15"/>
        </w:rPr>
        <w:t>Delivering Pandemic Vaccines in 100 Days — What Will It Take?</w:t>
      </w:r>
    </w:p>
    <w:p w:rsidR="00984D57" w:rsidRDefault="00AA4410" w:rsidP="00984D57">
      <w:pPr>
        <w:pBdr>
          <w:top w:val="single" w:sz="6" w:space="2" w:color="D4802C"/>
          <w:left w:val="single" w:sz="6" w:space="2" w:color="D4802C"/>
        </w:pBdr>
        <w:spacing w:before="300"/>
        <w:outlineLvl w:val="2"/>
        <w:rPr>
          <w:rFonts w:ascii="Helvetica" w:eastAsia="Times New Roman" w:hAnsi="Helvetica" w:cs="Times New Roman"/>
          <w:color w:val="333333"/>
          <w:sz w:val="24"/>
          <w:szCs w:val="24"/>
          <w:bdr w:val="none" w:sz="0" w:space="0" w:color="auto" w:frame="1"/>
          <w:shd w:val="clear" w:color="auto" w:fill="FFFFFF"/>
          <w:lang w:eastAsia="en-GB"/>
        </w:rPr>
      </w:pPr>
      <w:r>
        <w:rPr>
          <w:rFonts w:eastAsiaTheme="minorEastAsia"/>
          <w:caps/>
          <w:spacing w:val="15"/>
        </w:rPr>
        <w:t>nejm | 2</w:t>
      </w:r>
      <w:r w:rsidRPr="00AA4410">
        <w:rPr>
          <w:rFonts w:eastAsiaTheme="minorEastAsia"/>
          <w:caps/>
          <w:spacing w:val="15"/>
          <w:vertAlign w:val="superscript"/>
        </w:rPr>
        <w:t>nd</w:t>
      </w:r>
      <w:r>
        <w:rPr>
          <w:rFonts w:eastAsiaTheme="minorEastAsia"/>
          <w:caps/>
          <w:spacing w:val="15"/>
        </w:rPr>
        <w:t xml:space="preserve"> march</w:t>
      </w:r>
      <w:r w:rsidR="006B785A">
        <w:rPr>
          <w:rFonts w:eastAsiaTheme="minorEastAsia"/>
          <w:caps/>
          <w:spacing w:val="15"/>
        </w:rPr>
        <w:t xml:space="preserve"> 2022</w:t>
      </w:r>
      <w:r w:rsidR="00984D57">
        <w:rPr>
          <w:rFonts w:eastAsiaTheme="minorEastAsia"/>
          <w:caps/>
          <w:spacing w:val="15"/>
        </w:rPr>
        <w:t xml:space="preserve"> </w:t>
      </w:r>
      <w:r w:rsidR="00984D57">
        <w:rPr>
          <w:rFonts w:eastAsiaTheme="minorEastAsia"/>
          <w:caps/>
          <w:spacing w:val="15"/>
        </w:rPr>
        <w:br/>
      </w:r>
      <w:r w:rsidR="00B738F7">
        <w:rPr>
          <w:rFonts w:eastAsia="Times New Roman" w:cstheme="minorHAnsi"/>
          <w:b/>
          <w:bCs/>
          <w:color w:val="000000"/>
          <w:sz w:val="24"/>
          <w:szCs w:val="24"/>
          <w:lang w:eastAsia="en-GB"/>
        </w:rPr>
        <w:br/>
      </w:r>
      <w:r w:rsidRPr="00AA4410">
        <w:rPr>
          <w:rFonts w:eastAsia="Times New Roman" w:cstheme="minorHAnsi"/>
          <w:bCs/>
          <w:color w:val="000000"/>
          <w:lang w:eastAsia="en-GB"/>
        </w:rPr>
        <w:t xml:space="preserve">The development of SARS-CoV-2 vaccines in less than 1 year was a scientific triumph. Yet, during the 326 days between the viral sequence becoming available in January 2020 and emergency authorization of the first vaccines by a stringent regulatory authority, more than 70 million Covid-19 cases and 1.6 million resulting deaths were recorded worldwide.1 In recognition of the potential benefits associated with earlier, widespread availability of vaccines, the Coalition for Epidemic Preparedness Innovations (CEPI), where some of us work, articulated an aspirational goal: vaccines should be ready for initial authorization and manufacturing at scale within 100 days after the next pandemic pathogen is recognized. This “moonshot” goal has been widely adopted by governments </w:t>
      </w:r>
      <w:r w:rsidRPr="00AA4410">
        <w:rPr>
          <w:rFonts w:eastAsia="Times New Roman" w:cstheme="minorHAnsi"/>
          <w:bCs/>
          <w:color w:val="000000"/>
          <w:lang w:eastAsia="en-GB"/>
        </w:rPr>
        <w:lastRenderedPageBreak/>
        <w:t>throughout the world, and several vaccine developers are exploring strategies for achieving this aim.</w:t>
      </w:r>
      <w:r>
        <w:rPr>
          <w:rFonts w:eastAsia="Times New Roman" w:cstheme="minorHAnsi"/>
          <w:b/>
          <w:bCs/>
          <w:color w:val="000000"/>
          <w:lang w:eastAsia="en-GB"/>
        </w:rPr>
        <w:br/>
      </w:r>
      <w:hyperlink r:id="rId42" w:history="1">
        <w:r w:rsidRPr="0061137C">
          <w:rPr>
            <w:rStyle w:val="Hyperlink"/>
            <w:rFonts w:eastAsia="Times New Roman" w:cstheme="minorHAnsi"/>
            <w:bdr w:val="none" w:sz="0" w:space="0" w:color="auto" w:frame="1"/>
            <w:shd w:val="clear" w:color="auto" w:fill="FFFFFF"/>
            <w:lang w:eastAsia="en-GB"/>
          </w:rPr>
          <w:t>https://www.nejm.org/doi/full/10.1056/NEJMp2202669?query=featured_coronavirus</w:t>
        </w:r>
      </w:hyperlink>
      <w:r>
        <w:rPr>
          <w:rFonts w:ascii="Helvetica" w:eastAsia="Times New Roman" w:hAnsi="Helvetica" w:cs="Times New Roman"/>
          <w:color w:val="333333"/>
          <w:sz w:val="24"/>
          <w:szCs w:val="24"/>
          <w:bdr w:val="none" w:sz="0" w:space="0" w:color="auto" w:frame="1"/>
          <w:shd w:val="clear" w:color="auto" w:fill="FFFFFF"/>
          <w:lang w:eastAsia="en-GB"/>
        </w:rPr>
        <w:t xml:space="preserve"> </w:t>
      </w:r>
    </w:p>
    <w:p w:rsidR="00984D57" w:rsidRDefault="00984D57" w:rsidP="00EB7EBD">
      <w:pPr>
        <w:rPr>
          <w:rFonts w:ascii="Helvetica" w:eastAsia="Times New Roman" w:hAnsi="Helvetica" w:cs="Times New Roman"/>
          <w:color w:val="333333"/>
          <w:sz w:val="24"/>
          <w:szCs w:val="24"/>
          <w:bdr w:val="none" w:sz="0" w:space="0" w:color="auto" w:frame="1"/>
          <w:shd w:val="clear" w:color="auto" w:fill="FFFFFF"/>
          <w:lang w:eastAsia="en-GB"/>
        </w:rPr>
      </w:pPr>
    </w:p>
    <w:p w:rsidR="006B785A" w:rsidRDefault="006B785A" w:rsidP="006B785A">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B710D7" w:rsidRPr="00B710D7">
        <w:rPr>
          <w:rFonts w:eastAsiaTheme="minorEastAsia"/>
          <w:caps/>
          <w:spacing w:val="15"/>
        </w:rPr>
        <w:t>Response to additional COVID-19 vaccine doses in people who are immunocompromised: a rapid review</w:t>
      </w:r>
      <w:r w:rsidR="00B710D7">
        <w:rPr>
          <w:rFonts w:eastAsiaTheme="minorEastAsia"/>
          <w:caps/>
          <w:spacing w:val="15"/>
        </w:rPr>
        <w:t xml:space="preserve"> [correspondence]</w:t>
      </w:r>
    </w:p>
    <w:p w:rsidR="006B785A" w:rsidRPr="00984D57" w:rsidRDefault="00B710D7" w:rsidP="00B710D7">
      <w:pPr>
        <w:pBdr>
          <w:top w:val="single" w:sz="6" w:space="2" w:color="D4802C"/>
          <w:left w:val="single" w:sz="6" w:space="2" w:color="D4802C"/>
        </w:pBdr>
        <w:spacing w:before="300"/>
        <w:outlineLvl w:val="2"/>
        <w:rPr>
          <w:rFonts w:eastAsia="Times New Roman" w:cstheme="minorHAnsi"/>
          <w:color w:val="333333"/>
          <w:bdr w:val="none" w:sz="0" w:space="0" w:color="auto" w:frame="1"/>
          <w:shd w:val="clear" w:color="auto" w:fill="FFFFFF"/>
          <w:lang w:eastAsia="en-GB"/>
        </w:rPr>
      </w:pPr>
      <w:r>
        <w:rPr>
          <w:rFonts w:eastAsiaTheme="minorEastAsia"/>
          <w:caps/>
          <w:spacing w:val="15"/>
        </w:rPr>
        <w:t>the lancet global health | 3</w:t>
      </w:r>
      <w:r w:rsidRPr="00B710D7">
        <w:rPr>
          <w:rFonts w:eastAsiaTheme="minorEastAsia"/>
          <w:caps/>
          <w:spacing w:val="15"/>
          <w:vertAlign w:val="superscript"/>
        </w:rPr>
        <w:t>rd</w:t>
      </w:r>
      <w:r>
        <w:rPr>
          <w:rFonts w:eastAsiaTheme="minorEastAsia"/>
          <w:caps/>
          <w:spacing w:val="15"/>
        </w:rPr>
        <w:t xml:space="preserve"> march</w:t>
      </w:r>
      <w:r w:rsidR="006B785A">
        <w:rPr>
          <w:rFonts w:eastAsiaTheme="minorEastAsia"/>
          <w:caps/>
          <w:spacing w:val="15"/>
        </w:rPr>
        <w:t xml:space="preserve"> 2022</w:t>
      </w:r>
      <w:r w:rsidR="00984D57">
        <w:rPr>
          <w:rFonts w:eastAsiaTheme="minorEastAsia"/>
          <w:caps/>
          <w:spacing w:val="15"/>
        </w:rPr>
        <w:br/>
      </w:r>
      <w:r w:rsidR="00984D57">
        <w:rPr>
          <w:rFonts w:eastAsiaTheme="minorEastAsia"/>
          <w:caps/>
          <w:spacing w:val="15"/>
        </w:rPr>
        <w:br/>
      </w:r>
      <w:r w:rsidRPr="00B710D7">
        <w:rPr>
          <w:rFonts w:cstheme="minorHAnsi"/>
          <w:color w:val="333333"/>
        </w:rPr>
        <w:t>Individuals with compromised immune systems, whether because of immunodeficiency or immunosuppressive therapy, are among those most susceptible to COVID-19. In fact, people who are immunocompromised are doubly susceptible. On the one hand, people who are immunocompromised are more likely to suffer the gravest consequences of SARS-CoV-2 infection, inc</w:t>
      </w:r>
      <w:r w:rsidR="001B3852">
        <w:rPr>
          <w:rFonts w:cstheme="minorHAnsi"/>
          <w:color w:val="333333"/>
        </w:rPr>
        <w:t xml:space="preserve">luding severe or fatal disease. </w:t>
      </w:r>
      <w:r w:rsidRPr="00B710D7">
        <w:rPr>
          <w:rFonts w:cstheme="minorHAnsi"/>
          <w:color w:val="333333"/>
        </w:rPr>
        <w:t xml:space="preserve"> On the other hand, such individuals are less likely to mount a sufficient immune response to COVID-19 vaccination.</w:t>
      </w:r>
      <w:r w:rsidR="001B3852">
        <w:rPr>
          <w:rFonts w:cstheme="minorHAnsi"/>
          <w:color w:val="333333"/>
        </w:rPr>
        <w:t xml:space="preserve"> O</w:t>
      </w:r>
      <w:r w:rsidRPr="00B710D7">
        <w:rPr>
          <w:rFonts w:cstheme="minorHAnsi"/>
          <w:color w:val="333333"/>
        </w:rPr>
        <w:t>ur findings also highlight the need for continued caution among people who are immunocompromised while SARS-CoV-2 transmission remains high globally. Many people who are immunocompromised with severe immunosuppression are likely to remain susceptible to COVID-19 even after an additional dose. Indeed, cumulative antibody response rates after the additional dose in people who are immunocompromised typically fall some way short of the response rates observed after a standard primary series in people who are not immunocompromised. Accordingly, additional protective measures within the households and care facilities of people who are immunocompromised, including vaccination of close contacts as well as other public health and social measures, will be crucial to reduce the risk of transmission to this susceptible population.</w:t>
      </w:r>
      <w:r w:rsidR="00984D57" w:rsidRPr="00984D57">
        <w:rPr>
          <w:rFonts w:cstheme="minorHAnsi"/>
          <w:color w:val="333333"/>
        </w:rPr>
        <w:br/>
      </w:r>
      <w:hyperlink r:id="rId43" w:history="1">
        <w:r w:rsidRPr="005117FC">
          <w:rPr>
            <w:rStyle w:val="Hyperlink"/>
            <w:rFonts w:eastAsia="Times New Roman" w:cstheme="minorHAnsi"/>
            <w:bdr w:val="none" w:sz="0" w:space="0" w:color="auto" w:frame="1"/>
            <w:shd w:val="clear" w:color="auto" w:fill="FFFFFF"/>
            <w:lang w:eastAsia="en-GB"/>
          </w:rPr>
          <w:t>https://www.thelancet.com/journals/langlo/article/PIIS2214-109X(21)00593-3/fulltext</w:t>
        </w:r>
      </w:hyperlink>
      <w:r>
        <w:rPr>
          <w:rFonts w:eastAsia="Times New Roman" w:cstheme="minorHAnsi"/>
          <w:color w:val="333333"/>
          <w:bdr w:val="none" w:sz="0" w:space="0" w:color="auto" w:frame="1"/>
          <w:shd w:val="clear" w:color="auto" w:fill="FFFFFF"/>
          <w:lang w:eastAsia="en-GB"/>
        </w:rPr>
        <w:t xml:space="preserve"> </w:t>
      </w:r>
    </w:p>
    <w:p w:rsidR="00984D57" w:rsidRDefault="00984D57" w:rsidP="00EB7EBD">
      <w:pPr>
        <w:rPr>
          <w:rFonts w:ascii="Helvetica" w:eastAsia="Times New Roman" w:hAnsi="Helvetica" w:cs="Times New Roman"/>
          <w:color w:val="333333"/>
          <w:sz w:val="24"/>
          <w:szCs w:val="24"/>
          <w:bdr w:val="none" w:sz="0" w:space="0" w:color="auto" w:frame="1"/>
          <w:shd w:val="clear" w:color="auto" w:fill="FFFFFF"/>
          <w:lang w:eastAsia="en-GB"/>
        </w:rPr>
      </w:pPr>
    </w:p>
    <w:p w:rsidR="00367796" w:rsidRPr="008B4670" w:rsidRDefault="00367796" w:rsidP="00367796">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BD2986" w:rsidRPr="00BD2986">
        <w:rPr>
          <w:rFonts w:eastAsiaTheme="minorEastAsia"/>
          <w:caps/>
          <w:spacing w:val="15"/>
        </w:rPr>
        <w:t>Caregiver COVID-19 Vaccination Status in Pediatric Hospitals—Ethics of Exclusion</w:t>
      </w:r>
    </w:p>
    <w:p w:rsidR="00700CF2" w:rsidRPr="00700CF2" w:rsidRDefault="00367796" w:rsidP="00700CF2">
      <w:pPr>
        <w:pBdr>
          <w:top w:val="single" w:sz="6" w:space="2" w:color="D4802C"/>
          <w:left w:val="single" w:sz="6" w:space="2" w:color="D4802C"/>
        </w:pBdr>
        <w:spacing w:before="300"/>
        <w:outlineLvl w:val="2"/>
        <w:rPr>
          <w:rFonts w:eastAsia="Times New Roman" w:cstheme="minorHAnsi"/>
          <w:b/>
          <w:bCs/>
          <w:color w:val="000000"/>
          <w:lang w:eastAsia="en-GB"/>
        </w:rPr>
      </w:pPr>
      <w:r>
        <w:rPr>
          <w:rFonts w:eastAsiaTheme="minorEastAsia"/>
          <w:caps/>
          <w:spacing w:val="15"/>
        </w:rPr>
        <w:t>jama</w:t>
      </w:r>
      <w:r w:rsidR="00BD2986">
        <w:rPr>
          <w:rFonts w:eastAsiaTheme="minorEastAsia"/>
          <w:caps/>
          <w:spacing w:val="15"/>
        </w:rPr>
        <w:t xml:space="preserve"> pediatrics | 28</w:t>
      </w:r>
      <w:r w:rsidR="00BD2986" w:rsidRPr="00BD2986">
        <w:rPr>
          <w:rFonts w:eastAsiaTheme="minorEastAsia"/>
          <w:caps/>
          <w:spacing w:val="15"/>
          <w:vertAlign w:val="superscript"/>
        </w:rPr>
        <w:t>th</w:t>
      </w:r>
      <w:r w:rsidR="00BD2986">
        <w:rPr>
          <w:rFonts w:eastAsiaTheme="minorEastAsia"/>
          <w:caps/>
          <w:spacing w:val="15"/>
        </w:rPr>
        <w:t xml:space="preserve"> </w:t>
      </w:r>
      <w:r>
        <w:rPr>
          <w:rFonts w:eastAsiaTheme="minorEastAsia"/>
          <w:caps/>
          <w:spacing w:val="15"/>
        </w:rPr>
        <w:t>FEBRUARY 2022</w:t>
      </w:r>
      <w:r w:rsidR="00700CF2">
        <w:rPr>
          <w:rFonts w:eastAsiaTheme="minorEastAsia"/>
          <w:caps/>
          <w:spacing w:val="15"/>
        </w:rPr>
        <w:t xml:space="preserve"> </w:t>
      </w:r>
      <w:r w:rsidR="00700CF2">
        <w:rPr>
          <w:rFonts w:eastAsiaTheme="minorEastAsia"/>
          <w:caps/>
          <w:spacing w:val="15"/>
        </w:rPr>
        <w:br/>
      </w:r>
      <w:r w:rsidR="00700CF2">
        <w:rPr>
          <w:rFonts w:eastAsiaTheme="minorEastAsia"/>
          <w:caps/>
          <w:spacing w:val="15"/>
        </w:rPr>
        <w:br/>
      </w:r>
      <w:r w:rsidR="00BD2986" w:rsidRPr="00BD2986">
        <w:rPr>
          <w:rFonts w:eastAsia="Times New Roman" w:cstheme="minorHAnsi"/>
          <w:bCs/>
          <w:color w:val="000000"/>
          <w:lang w:eastAsia="en-GB"/>
        </w:rPr>
        <w:t>Before the advent of vaccines against COVID-19, hospitals worldwide invoked visitation restrictions to protect health care workers, patients, and the general public in the context of overwhelmed inpatient wards, limited personal protective equipment, and heightened community prevalence. In the postvaccine era, institutions have grappled with how COVID-19 vaccination status might impact visitation of inpatients or access to certain health care resources. In light of vaccine mandates and vaccine passports,1 some health care institutions have adopted policies restricting visitation of adult patients by unvaccinated individuals. Should COVID-19 vaccination status determine caregiver presence in pediatric hospitals?</w:t>
      </w:r>
      <w:r w:rsidR="00BD2986">
        <w:rPr>
          <w:rFonts w:eastAsia="Times New Roman" w:cstheme="minorHAnsi"/>
          <w:b/>
          <w:bCs/>
          <w:color w:val="000000"/>
          <w:lang w:eastAsia="en-GB"/>
        </w:rPr>
        <w:br/>
      </w:r>
      <w:hyperlink r:id="rId44" w:history="1">
        <w:r w:rsidR="00BD2986" w:rsidRPr="001B3852">
          <w:rPr>
            <w:rStyle w:val="Hyperlink"/>
            <w:rFonts w:eastAsia="Times New Roman" w:cstheme="minorHAnsi"/>
            <w:bdr w:val="none" w:sz="0" w:space="0" w:color="auto" w:frame="1"/>
            <w:shd w:val="clear" w:color="auto" w:fill="FFFFFF"/>
            <w:lang w:eastAsia="en-GB"/>
          </w:rPr>
          <w:t>https://jamanetwork.com/journals/jamapediatrics/fullarticle/2789459</w:t>
        </w:r>
      </w:hyperlink>
      <w:r w:rsidR="00BD2986" w:rsidRPr="001B3852">
        <w:rPr>
          <w:rFonts w:eastAsia="Times New Roman" w:cstheme="minorHAnsi"/>
          <w:color w:val="333333"/>
          <w:bdr w:val="none" w:sz="0" w:space="0" w:color="auto" w:frame="1"/>
          <w:shd w:val="clear" w:color="auto" w:fill="FFFFFF"/>
          <w:lang w:eastAsia="en-GB"/>
        </w:rPr>
        <w:t xml:space="preserve"> </w:t>
      </w:r>
      <w:r w:rsidR="00700CF2" w:rsidRPr="001B3852">
        <w:rPr>
          <w:rFonts w:eastAsia="Times New Roman" w:cstheme="minorHAnsi"/>
          <w:color w:val="333333"/>
          <w:bdr w:val="none" w:sz="0" w:space="0" w:color="auto" w:frame="1"/>
          <w:shd w:val="clear" w:color="auto" w:fill="FFFFFF"/>
          <w:lang w:eastAsia="en-GB"/>
        </w:rPr>
        <w:t xml:space="preserve"> </w:t>
      </w:r>
    </w:p>
    <w:p w:rsidR="00033BCE" w:rsidRPr="00627D72" w:rsidRDefault="00BA4966" w:rsidP="00033BCE">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
          <w:bCs/>
          <w:caps/>
          <w:color w:val="FFFFFF" w:themeColor="background1"/>
          <w:spacing w:val="15"/>
        </w:rPr>
      </w:pPr>
      <w:r>
        <w:rPr>
          <w:rFonts w:ascii="Dotum" w:eastAsiaTheme="minorEastAsia" w:hAnsi="Dotum"/>
          <w:b/>
          <w:bCs/>
          <w:caps/>
          <w:color w:val="FFFFFF" w:themeColor="background1"/>
          <w:spacing w:val="15"/>
        </w:rPr>
        <w:lastRenderedPageBreak/>
        <w:t xml:space="preserve">recovery / </w:t>
      </w:r>
      <w:r w:rsidR="0024067F">
        <w:rPr>
          <w:rFonts w:ascii="Dotum" w:eastAsiaTheme="minorEastAsia" w:hAnsi="Dotum"/>
          <w:b/>
          <w:bCs/>
          <w:caps/>
          <w:color w:val="FFFFFF" w:themeColor="background1"/>
          <w:spacing w:val="15"/>
        </w:rPr>
        <w:t>HEALTH MANGEMENT &amp; SERVICES</w:t>
      </w:r>
    </w:p>
    <w:p w:rsidR="006B785A" w:rsidRDefault="006B785A" w:rsidP="006B785A">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0F47F2" w:rsidRPr="000F47F2">
        <w:rPr>
          <w:rFonts w:eastAsiaTheme="minorEastAsia"/>
          <w:caps/>
          <w:spacing w:val="15"/>
        </w:rPr>
        <w:t>Has the covid pandemic changed the debate about nationalising GPs?</w:t>
      </w:r>
    </w:p>
    <w:p w:rsidR="00EB7EBD" w:rsidRDefault="000F47F2" w:rsidP="0003070B">
      <w:pPr>
        <w:pBdr>
          <w:top w:val="single" w:sz="6" w:space="2" w:color="D4802C"/>
          <w:left w:val="single" w:sz="6" w:space="2" w:color="D4802C"/>
        </w:pBdr>
        <w:spacing w:before="300"/>
        <w:outlineLvl w:val="2"/>
        <w:rPr>
          <w:rFonts w:ascii="Helvetica" w:hAnsi="Helvetica"/>
          <w:color w:val="000000"/>
        </w:rPr>
      </w:pPr>
      <w:r>
        <w:rPr>
          <w:rFonts w:eastAsiaTheme="minorEastAsia"/>
          <w:caps/>
          <w:spacing w:val="15"/>
        </w:rPr>
        <w:t>BMJ | 2</w:t>
      </w:r>
      <w:r w:rsidRPr="000F47F2">
        <w:rPr>
          <w:rFonts w:eastAsiaTheme="minorEastAsia"/>
          <w:caps/>
          <w:spacing w:val="15"/>
          <w:vertAlign w:val="superscript"/>
        </w:rPr>
        <w:t>nd</w:t>
      </w:r>
      <w:r>
        <w:rPr>
          <w:rFonts w:eastAsiaTheme="minorEastAsia"/>
          <w:caps/>
          <w:spacing w:val="15"/>
        </w:rPr>
        <w:t xml:space="preserve"> march </w:t>
      </w:r>
      <w:r w:rsidR="006B785A">
        <w:rPr>
          <w:rFonts w:eastAsiaTheme="minorEastAsia"/>
          <w:caps/>
          <w:spacing w:val="15"/>
        </w:rPr>
        <w:t>2022</w:t>
      </w:r>
      <w:r w:rsidR="0003070B">
        <w:rPr>
          <w:rFonts w:eastAsiaTheme="minorEastAsia"/>
          <w:caps/>
          <w:spacing w:val="15"/>
        </w:rPr>
        <w:br/>
      </w:r>
      <w:r w:rsidR="0003070B" w:rsidRPr="00BA4966">
        <w:rPr>
          <w:rFonts w:eastAsiaTheme="minorEastAsia" w:cstheme="minorHAnsi"/>
          <w:caps/>
          <w:spacing w:val="15"/>
        </w:rPr>
        <w:br/>
      </w:r>
      <w:r w:rsidRPr="000F47F2">
        <w:rPr>
          <w:rFonts w:cstheme="minorHAnsi"/>
          <w:color w:val="000000"/>
        </w:rPr>
        <w:t>The pandemic has led the UK health secretary into a debate on whether GPs should be directly employed by the NHS. Azeem Majeed argues that this is an opportunity to correct a flawed model, but Simon Hodes says that partnerships are still the best model for primary care</w:t>
      </w:r>
      <w:r w:rsidR="00BA4966">
        <w:rPr>
          <w:rFonts w:cstheme="minorHAnsi"/>
          <w:color w:val="000000"/>
        </w:rPr>
        <w:br/>
      </w:r>
      <w:hyperlink r:id="rId45" w:history="1">
        <w:r w:rsidRPr="0061137C">
          <w:rPr>
            <w:rStyle w:val="Hyperlink"/>
            <w:rFonts w:cstheme="minorHAnsi"/>
          </w:rPr>
          <w:t>https://www.bmj.com/content/376/bmj.o406</w:t>
        </w:r>
      </w:hyperlink>
      <w:r>
        <w:rPr>
          <w:rFonts w:ascii="Helvetica" w:hAnsi="Helvetica"/>
          <w:color w:val="000000"/>
        </w:rPr>
        <w:t xml:space="preserve"> </w:t>
      </w:r>
    </w:p>
    <w:p w:rsidR="00033BCE" w:rsidRDefault="00033BCE" w:rsidP="00A30349">
      <w:pPr>
        <w:spacing w:before="200"/>
        <w:rPr>
          <w:rFonts w:eastAsiaTheme="minorEastAsia"/>
        </w:rPr>
      </w:pPr>
    </w:p>
    <w:p w:rsidR="000F47F2" w:rsidRPr="001B3852" w:rsidRDefault="0003070B" w:rsidP="000F47F2">
      <w:pPr>
        <w:pBdr>
          <w:top w:val="single" w:sz="6" w:space="2" w:color="D4802C"/>
          <w:left w:val="single" w:sz="6" w:space="2" w:color="D4802C"/>
        </w:pBdr>
        <w:spacing w:before="300"/>
        <w:outlineLvl w:val="2"/>
        <w:rPr>
          <w:rFonts w:cstheme="minorHAnsi"/>
          <w:color w:val="333333"/>
          <w:shd w:val="clear" w:color="auto" w:fill="FFFFFF"/>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0F47F2" w:rsidRPr="000F47F2">
        <w:rPr>
          <w:rFonts w:eastAsiaTheme="minorEastAsia"/>
          <w:caps/>
          <w:spacing w:val="15"/>
        </w:rPr>
        <w:t>Pandemic has accelerated demand for private healthcare, report finds</w:t>
      </w:r>
      <w:r w:rsidR="00BA4966">
        <w:rPr>
          <w:rFonts w:eastAsiaTheme="minorEastAsia"/>
          <w:caps/>
          <w:spacing w:val="15"/>
        </w:rPr>
        <w:br/>
      </w:r>
      <w:r w:rsidR="00BA4966">
        <w:rPr>
          <w:rFonts w:eastAsiaTheme="minorEastAsia"/>
          <w:caps/>
          <w:spacing w:val="15"/>
        </w:rPr>
        <w:br/>
      </w:r>
      <w:r w:rsidR="000F47F2">
        <w:rPr>
          <w:rFonts w:eastAsiaTheme="minorEastAsia"/>
          <w:caps/>
          <w:spacing w:val="15"/>
        </w:rPr>
        <w:t>bmj | 3</w:t>
      </w:r>
      <w:r w:rsidR="000F47F2" w:rsidRPr="000F47F2">
        <w:rPr>
          <w:rFonts w:eastAsiaTheme="minorEastAsia"/>
          <w:caps/>
          <w:spacing w:val="15"/>
          <w:vertAlign w:val="superscript"/>
        </w:rPr>
        <w:t>rd</w:t>
      </w:r>
      <w:r w:rsidR="000F47F2">
        <w:rPr>
          <w:rFonts w:eastAsiaTheme="minorEastAsia"/>
          <w:caps/>
          <w:spacing w:val="15"/>
        </w:rPr>
        <w:t xml:space="preserve"> march</w:t>
      </w:r>
      <w:r>
        <w:rPr>
          <w:rFonts w:eastAsiaTheme="minorEastAsia"/>
          <w:caps/>
          <w:spacing w:val="15"/>
        </w:rPr>
        <w:t xml:space="preserve"> 2022</w:t>
      </w:r>
      <w:r>
        <w:rPr>
          <w:rFonts w:eastAsiaTheme="minorEastAsia"/>
          <w:caps/>
          <w:spacing w:val="15"/>
        </w:rPr>
        <w:br/>
      </w:r>
      <w:r w:rsidR="00BA4966">
        <w:rPr>
          <w:rFonts w:eastAsiaTheme="minorEastAsia"/>
          <w:caps/>
          <w:spacing w:val="15"/>
        </w:rPr>
        <w:br/>
      </w:r>
      <w:r w:rsidR="000F47F2" w:rsidRPr="001B3852">
        <w:rPr>
          <w:rFonts w:cstheme="minorHAnsi"/>
          <w:color w:val="333333"/>
          <w:shd w:val="clear" w:color="auto" w:fill="FFFFFF"/>
        </w:rPr>
        <w:t>More UK adults are seeking private healthcare as poor access to care exacerbated by the pandemic threatens to create a two ti</w:t>
      </w:r>
      <w:r w:rsidR="0061137C">
        <w:rPr>
          <w:rFonts w:cstheme="minorHAnsi"/>
          <w:color w:val="333333"/>
          <w:shd w:val="clear" w:color="auto" w:fill="FFFFFF"/>
        </w:rPr>
        <w:t>er system, a report has warned.</w:t>
      </w:r>
    </w:p>
    <w:p w:rsidR="000F47F2" w:rsidRPr="001B3852" w:rsidRDefault="000F47F2" w:rsidP="000F47F2">
      <w:pPr>
        <w:pBdr>
          <w:top w:val="single" w:sz="6" w:space="2" w:color="D4802C"/>
          <w:left w:val="single" w:sz="6" w:space="2" w:color="D4802C"/>
        </w:pBdr>
        <w:spacing w:before="300"/>
        <w:outlineLvl w:val="2"/>
        <w:rPr>
          <w:rFonts w:cstheme="minorHAnsi"/>
          <w:color w:val="333333"/>
          <w:shd w:val="clear" w:color="auto" w:fill="FFFFFF"/>
        </w:rPr>
      </w:pPr>
      <w:r w:rsidRPr="001B3852">
        <w:rPr>
          <w:rFonts w:cstheme="minorHAnsi"/>
          <w:color w:val="333333"/>
          <w:shd w:val="clear" w:color="auto" w:fill="FFFFFF"/>
        </w:rPr>
        <w:t>Research by the Institute for Public Policy Research (IPPR) think tank found that the long term decline in NHS access and quality had been rapidly accelerated by covid-19, prompting more people to purchase private health insurance or pay for treatment.</w:t>
      </w:r>
    </w:p>
    <w:p w:rsidR="00B01DD1" w:rsidRPr="001B3852" w:rsidRDefault="000F47F2" w:rsidP="000F47F2">
      <w:pPr>
        <w:pBdr>
          <w:top w:val="single" w:sz="6" w:space="2" w:color="D4802C"/>
          <w:left w:val="single" w:sz="6" w:space="2" w:color="D4802C"/>
        </w:pBdr>
        <w:spacing w:before="300"/>
        <w:outlineLvl w:val="2"/>
        <w:rPr>
          <w:rFonts w:cstheme="minorHAnsi"/>
        </w:rPr>
      </w:pPr>
      <w:r w:rsidRPr="001B3852">
        <w:rPr>
          <w:rFonts w:cstheme="minorHAnsi"/>
          <w:color w:val="333333"/>
          <w:shd w:val="clear" w:color="auto" w:fill="FFFFFF"/>
        </w:rPr>
        <w:t>Polling by IPPR and YouGov for the report found that of 3466 UK adults surveyed, almost a third (31%) struggled to access the care they needed during the pandemic. Of these, almost one in eight (12%) used some form of paid alternative and one in five considered doing so, with this proportion rising for wealthier people.</w:t>
      </w:r>
      <w:r w:rsidR="001B3852">
        <w:rPr>
          <w:rFonts w:cstheme="minorHAnsi"/>
          <w:color w:val="333333"/>
          <w:shd w:val="clear" w:color="auto" w:fill="FFFFFF"/>
        </w:rPr>
        <w:t xml:space="preserve"> </w:t>
      </w:r>
      <w:r w:rsidRPr="001B3852">
        <w:rPr>
          <w:rFonts w:cstheme="minorHAnsi"/>
          <w:color w:val="333333"/>
          <w:shd w:val="clear" w:color="auto" w:fill="FFFFFF"/>
        </w:rPr>
        <w:t>But support for the core principles of the NHS was high, with 88% of people polled across all political viewpoints expressing support for care being free at the point of delivery.</w:t>
      </w:r>
      <w:r w:rsidR="00BA4966" w:rsidRPr="001B3852">
        <w:rPr>
          <w:rFonts w:cstheme="minorHAnsi"/>
          <w:color w:val="333333"/>
          <w:shd w:val="clear" w:color="auto" w:fill="FFFFFF"/>
        </w:rPr>
        <w:br/>
      </w:r>
      <w:hyperlink r:id="rId46" w:history="1">
        <w:r w:rsidRPr="001B3852">
          <w:rPr>
            <w:rStyle w:val="Hyperlink"/>
            <w:rFonts w:cstheme="minorHAnsi"/>
          </w:rPr>
          <w:t>https://www.bmj.com/content/376/bmj.o566</w:t>
        </w:r>
      </w:hyperlink>
      <w:r w:rsidRPr="001B3852">
        <w:rPr>
          <w:rFonts w:cstheme="minorHAnsi"/>
        </w:rPr>
        <w:t xml:space="preserve"> </w:t>
      </w:r>
    </w:p>
    <w:p w:rsidR="0003070B" w:rsidRDefault="0003070B" w:rsidP="00B01DD1">
      <w:pPr>
        <w:shd w:val="clear" w:color="auto" w:fill="FFFFFF"/>
        <w:spacing w:before="180" w:after="180" w:line="240" w:lineRule="auto"/>
        <w:textAlignment w:val="baseline"/>
        <w:outlineLvl w:val="0"/>
        <w:rPr>
          <w:rFonts w:ascii="Helvetica" w:eastAsia="Times New Roman" w:hAnsi="Helvetica" w:cs="Times New Roman"/>
          <w:b/>
          <w:bCs/>
          <w:color w:val="333333"/>
          <w:kern w:val="36"/>
          <w:sz w:val="30"/>
          <w:szCs w:val="30"/>
          <w:lang w:eastAsia="en-GB"/>
        </w:rPr>
      </w:pPr>
    </w:p>
    <w:p w:rsidR="0003070B" w:rsidRDefault="0003070B" w:rsidP="0003070B">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D306EA" w:rsidRPr="00D306EA">
        <w:rPr>
          <w:rFonts w:eastAsiaTheme="minorEastAsia"/>
          <w:caps/>
          <w:spacing w:val="15"/>
        </w:rPr>
        <w:t>Why has mental health been forgotten in the government’s recovery plans?</w:t>
      </w:r>
    </w:p>
    <w:p w:rsidR="00EB7EBD" w:rsidRDefault="00D306EA" w:rsidP="0003070B">
      <w:pPr>
        <w:pBdr>
          <w:top w:val="single" w:sz="6" w:space="2" w:color="D4802C"/>
          <w:left w:val="single" w:sz="6" w:space="2" w:color="D4802C"/>
        </w:pBdr>
        <w:spacing w:before="300"/>
        <w:outlineLvl w:val="2"/>
      </w:pPr>
      <w:r>
        <w:rPr>
          <w:rFonts w:eastAsiaTheme="minorEastAsia"/>
          <w:caps/>
          <w:spacing w:val="15"/>
        </w:rPr>
        <w:t>bmj | 4</w:t>
      </w:r>
      <w:r w:rsidRPr="00D306EA">
        <w:rPr>
          <w:rFonts w:eastAsiaTheme="minorEastAsia"/>
          <w:caps/>
          <w:spacing w:val="15"/>
          <w:vertAlign w:val="superscript"/>
        </w:rPr>
        <w:t>th</w:t>
      </w:r>
      <w:r>
        <w:rPr>
          <w:rFonts w:eastAsiaTheme="minorEastAsia"/>
          <w:caps/>
          <w:spacing w:val="15"/>
        </w:rPr>
        <w:t xml:space="preserve"> march</w:t>
      </w:r>
      <w:r w:rsidR="0003070B">
        <w:rPr>
          <w:rFonts w:eastAsiaTheme="minorEastAsia"/>
          <w:caps/>
          <w:spacing w:val="15"/>
        </w:rPr>
        <w:t xml:space="preserve"> 2022</w:t>
      </w:r>
      <w:r w:rsidR="0003070B">
        <w:rPr>
          <w:rFonts w:eastAsiaTheme="minorEastAsia"/>
          <w:caps/>
          <w:spacing w:val="15"/>
        </w:rPr>
        <w:br/>
      </w:r>
      <w:r w:rsidR="0003070B">
        <w:rPr>
          <w:rFonts w:eastAsiaTheme="minorEastAsia"/>
          <w:caps/>
          <w:spacing w:val="15"/>
        </w:rPr>
        <w:br/>
      </w:r>
      <w:r w:rsidRPr="001B3852">
        <w:rPr>
          <w:rFonts w:cstheme="minorHAnsi"/>
          <w:color w:val="333333"/>
          <w:shd w:val="clear" w:color="auto" w:fill="FFFFFF"/>
        </w:rPr>
        <w:t xml:space="preserve">Over the last few weeks, we’ve seen the publication of several major government strategies setting out plans for our recovery from covid-19, including the NHS elective backlog strategy and white </w:t>
      </w:r>
      <w:r w:rsidRPr="001B3852">
        <w:rPr>
          <w:rFonts w:cstheme="minorHAnsi"/>
          <w:color w:val="333333"/>
          <w:shd w:val="clear" w:color="auto" w:fill="FFFFFF"/>
        </w:rPr>
        <w:lastRenderedPageBreak/>
        <w:t>papers on integration and levelling up. However, something obvious is missing. For those of us working in frontline services, the lack of comparative action on mental health is increasingly worrying. In some respects, we seem to be moving backwards.</w:t>
      </w:r>
      <w:r w:rsidR="0003070B" w:rsidRPr="001B3852">
        <w:rPr>
          <w:rFonts w:cstheme="minorHAnsi"/>
          <w:color w:val="333333"/>
          <w:shd w:val="clear" w:color="auto" w:fill="FFFFFF"/>
        </w:rPr>
        <w:br/>
      </w:r>
      <w:hyperlink r:id="rId47" w:history="1">
        <w:r w:rsidRPr="001B3852">
          <w:rPr>
            <w:rStyle w:val="Hyperlink"/>
            <w:rFonts w:cstheme="minorHAnsi"/>
          </w:rPr>
          <w:t>https://www.bmj.com/content/376/bmj.o585</w:t>
        </w:r>
      </w:hyperlink>
      <w:r>
        <w:t xml:space="preserve"> </w:t>
      </w:r>
    </w:p>
    <w:p w:rsidR="00413BBC" w:rsidRDefault="00413BBC" w:rsidP="00413BBC">
      <w:pPr>
        <w:shd w:val="clear" w:color="auto" w:fill="FFFFFF"/>
        <w:spacing w:before="100" w:beforeAutospacing="1" w:after="100" w:afterAutospacing="1" w:line="240" w:lineRule="auto"/>
        <w:rPr>
          <w:rFonts w:eastAsia="Times New Roman" w:cs="Arial"/>
          <w:color w:val="000000"/>
          <w:lang w:eastAsia="en-GB"/>
        </w:rPr>
      </w:pPr>
    </w:p>
    <w:p w:rsidR="00BA4966" w:rsidRDefault="00BA4966" w:rsidP="00BA4966">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042493" w:rsidRPr="00042493">
        <w:rPr>
          <w:rFonts w:eastAsiaTheme="minorEastAsia"/>
          <w:caps/>
          <w:spacing w:val="15"/>
        </w:rPr>
        <w:t>What can we learn from the language of “living with covid”?</w:t>
      </w:r>
    </w:p>
    <w:p w:rsidR="00BA4966" w:rsidRDefault="00042493" w:rsidP="00BA4966">
      <w:pPr>
        <w:pBdr>
          <w:top w:val="single" w:sz="6" w:space="2" w:color="D4802C"/>
          <w:left w:val="single" w:sz="6" w:space="2" w:color="D4802C"/>
        </w:pBdr>
        <w:spacing w:before="300"/>
        <w:outlineLvl w:val="2"/>
      </w:pPr>
      <w:r>
        <w:rPr>
          <w:rFonts w:eastAsiaTheme="minorEastAsia"/>
          <w:caps/>
          <w:spacing w:val="15"/>
        </w:rPr>
        <w:t>bmj</w:t>
      </w:r>
      <w:r w:rsidR="00BA4966">
        <w:rPr>
          <w:rFonts w:eastAsiaTheme="minorEastAsia"/>
          <w:caps/>
          <w:spacing w:val="15"/>
        </w:rPr>
        <w:t xml:space="preserve"> | 23</w:t>
      </w:r>
      <w:r w:rsidR="00BA4966" w:rsidRPr="00BA4966">
        <w:rPr>
          <w:rFonts w:eastAsiaTheme="minorEastAsia"/>
          <w:caps/>
          <w:spacing w:val="15"/>
          <w:vertAlign w:val="superscript"/>
        </w:rPr>
        <w:t>rd</w:t>
      </w:r>
      <w:r w:rsidR="00BA4966">
        <w:rPr>
          <w:rFonts w:eastAsiaTheme="minorEastAsia"/>
          <w:caps/>
          <w:spacing w:val="15"/>
        </w:rPr>
        <w:t xml:space="preserve">  FEBRUARY 2022</w:t>
      </w:r>
      <w:r w:rsidR="00BA4966">
        <w:rPr>
          <w:rFonts w:eastAsiaTheme="minorEastAsia"/>
          <w:caps/>
          <w:spacing w:val="15"/>
        </w:rPr>
        <w:br/>
      </w:r>
      <w:r w:rsidR="00BA4966">
        <w:rPr>
          <w:rFonts w:eastAsiaTheme="minorEastAsia"/>
          <w:caps/>
          <w:spacing w:val="15"/>
        </w:rPr>
        <w:br/>
      </w:r>
      <w:r>
        <w:rPr>
          <w:rFonts w:eastAsia="Times New Roman" w:cstheme="minorHAnsi"/>
          <w:color w:val="333333"/>
          <w:lang w:eastAsia="en-GB"/>
        </w:rPr>
        <w:t>S</w:t>
      </w:r>
      <w:r w:rsidRPr="00042493">
        <w:rPr>
          <w:rFonts w:eastAsia="Times New Roman" w:cstheme="minorHAnsi"/>
          <w:color w:val="333333"/>
          <w:lang w:eastAsia="en-GB"/>
        </w:rPr>
        <w:t>ince the start of the covid-19 pandemic, in the UK and elsewhere, the phrase “living with covid”—and variations such as “live with it,” “learning to live with the virus”—has circulated in public discourse. It refers to, and summarises, increasingly polarised positions with regards to the pandemic: on the one hand, accept the virus and resist adaptations; on the other, adopt mitigations and adapt to a new normal. Since the same phrase is used by different parties with diverse stakes and interests, it is emblematic of the way pandemic discourse has dichotomized over the past two years</w:t>
      </w:r>
      <w:r w:rsidR="001B3852">
        <w:rPr>
          <w:rFonts w:eastAsia="Times New Roman" w:cstheme="minorHAnsi"/>
          <w:color w:val="333333"/>
          <w:lang w:eastAsia="en-GB"/>
        </w:rPr>
        <w:t>.</w:t>
      </w:r>
      <w:r w:rsidR="001B3852">
        <w:rPr>
          <w:rFonts w:eastAsia="Times New Roman" w:cstheme="minorHAnsi"/>
          <w:color w:val="333333"/>
          <w:lang w:eastAsia="en-GB"/>
        </w:rPr>
        <w:br/>
      </w:r>
      <w:hyperlink r:id="rId48" w:history="1">
        <w:r w:rsidRPr="005117FC">
          <w:rPr>
            <w:rStyle w:val="Hyperlink"/>
            <w:rFonts w:eastAsia="Times New Roman" w:cstheme="minorHAnsi"/>
            <w:lang w:eastAsia="en-GB"/>
          </w:rPr>
          <w:t>https://www.bmj.com/content/376/bmj.o575</w:t>
        </w:r>
      </w:hyperlink>
      <w:r>
        <w:rPr>
          <w:rFonts w:eastAsia="Times New Roman" w:cstheme="minorHAnsi"/>
          <w:color w:val="333333"/>
          <w:lang w:eastAsia="en-GB"/>
        </w:rPr>
        <w:t xml:space="preserve"> </w:t>
      </w:r>
    </w:p>
    <w:p w:rsidR="00BA4966" w:rsidRDefault="00BA4966" w:rsidP="00BA4966">
      <w:pPr>
        <w:shd w:val="clear" w:color="auto" w:fill="FFFFFF"/>
        <w:spacing w:before="100" w:beforeAutospacing="1" w:after="100" w:afterAutospacing="1" w:line="240" w:lineRule="auto"/>
        <w:rPr>
          <w:rFonts w:eastAsia="Times New Roman" w:cs="Arial"/>
          <w:color w:val="000000"/>
          <w:lang w:eastAsia="en-GB"/>
        </w:rPr>
      </w:pPr>
    </w:p>
    <w:p w:rsidR="00BA4966" w:rsidRDefault="00BA4966" w:rsidP="00BA4966">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Pr>
          <w:rFonts w:eastAsiaTheme="minorEastAsia"/>
          <w:caps/>
          <w:spacing w:val="15"/>
        </w:rPr>
        <w:t xml:space="preserve"> </w:t>
      </w:r>
      <w:r w:rsidR="00042493" w:rsidRPr="00042493">
        <w:rPr>
          <w:rFonts w:eastAsiaTheme="minorEastAsia"/>
          <w:caps/>
          <w:spacing w:val="15"/>
        </w:rPr>
        <w:t>Government’s plan for “living with covid-19” neglects the most vulnerable</w:t>
      </w:r>
    </w:p>
    <w:p w:rsidR="00042493" w:rsidRPr="00042493" w:rsidRDefault="00042493" w:rsidP="00042493">
      <w:pPr>
        <w:pBdr>
          <w:top w:val="single" w:sz="6" w:space="2" w:color="D4802C"/>
          <w:left w:val="single" w:sz="6" w:space="2" w:color="D4802C"/>
        </w:pBdr>
        <w:spacing w:before="300"/>
        <w:outlineLvl w:val="2"/>
        <w:rPr>
          <w:rFonts w:cstheme="minorHAnsi"/>
          <w:color w:val="333333"/>
        </w:rPr>
      </w:pPr>
      <w:r>
        <w:rPr>
          <w:rFonts w:eastAsiaTheme="minorEastAsia"/>
          <w:caps/>
          <w:spacing w:val="15"/>
        </w:rPr>
        <w:t>BMJ</w:t>
      </w:r>
      <w:r w:rsidR="00BA4966">
        <w:rPr>
          <w:rFonts w:eastAsiaTheme="minorEastAsia"/>
          <w:caps/>
          <w:spacing w:val="15"/>
        </w:rPr>
        <w:t xml:space="preserve"> | </w:t>
      </w:r>
      <w:r>
        <w:rPr>
          <w:rFonts w:eastAsiaTheme="minorEastAsia"/>
          <w:caps/>
          <w:spacing w:val="15"/>
        </w:rPr>
        <w:t>1</w:t>
      </w:r>
      <w:r w:rsidRPr="00042493">
        <w:rPr>
          <w:rFonts w:eastAsiaTheme="minorEastAsia"/>
          <w:caps/>
          <w:spacing w:val="15"/>
          <w:vertAlign w:val="superscript"/>
        </w:rPr>
        <w:t>st</w:t>
      </w:r>
      <w:r>
        <w:rPr>
          <w:rFonts w:eastAsiaTheme="minorEastAsia"/>
          <w:caps/>
          <w:spacing w:val="15"/>
        </w:rPr>
        <w:t xml:space="preserve"> march </w:t>
      </w:r>
      <w:r w:rsidR="00BA4966">
        <w:rPr>
          <w:rFonts w:eastAsiaTheme="minorEastAsia"/>
          <w:caps/>
          <w:spacing w:val="15"/>
        </w:rPr>
        <w:t>2022</w:t>
      </w:r>
      <w:r w:rsidR="00BA4966">
        <w:rPr>
          <w:rFonts w:eastAsiaTheme="minorEastAsia"/>
          <w:caps/>
          <w:spacing w:val="15"/>
        </w:rPr>
        <w:br/>
      </w:r>
      <w:r w:rsidR="00740699">
        <w:rPr>
          <w:rFonts w:eastAsiaTheme="minorEastAsia"/>
          <w:caps/>
          <w:spacing w:val="15"/>
        </w:rPr>
        <w:br/>
      </w:r>
      <w:r w:rsidRPr="00042493">
        <w:rPr>
          <w:rFonts w:cstheme="minorHAnsi"/>
          <w:color w:val="333333"/>
        </w:rPr>
        <w:t>To doctors and much of the public, who have spent the last two years doing the right thing to protect one another, last week’s “Living with covid-19” strategy appeared less about living with the virus, and more about ignoring its continued impact on people, society, and the health service.</w:t>
      </w:r>
    </w:p>
    <w:p w:rsidR="00BA4966" w:rsidRDefault="00042493" w:rsidP="00042493">
      <w:pPr>
        <w:pBdr>
          <w:top w:val="single" w:sz="6" w:space="2" w:color="D4802C"/>
          <w:left w:val="single" w:sz="6" w:space="2" w:color="D4802C"/>
        </w:pBdr>
        <w:spacing w:before="300"/>
        <w:outlineLvl w:val="2"/>
      </w:pPr>
      <w:r w:rsidRPr="00042493">
        <w:rPr>
          <w:rFonts w:cstheme="minorHAnsi"/>
          <w:color w:val="333333"/>
        </w:rPr>
        <w:t>It is of course positive that through the successful vaccination programme and better treatments for covid the levels of serious illness have reduced with fewer people in hospital and fewer deaths. However, the decision last Monday to lift all legally enforceable public health measures feels rash and premature with infection rates still high and the latest Office of National Statistic survey suggesting one in 25 people in England were infected in the week ending 19 February.1 And while the prime minister talks about omicron resulting in a mild illness for most, others will still become very unwell with covid-19. There are almost 11 000 people in hospital and just under a thousand deaths per week, as well as an estimated more than one million people living with long covid—themselves needing ongoing care—an issue the prime minister airbrushed out of his announcement.</w:t>
      </w:r>
      <w:r>
        <w:rPr>
          <w:rFonts w:cstheme="minorHAnsi"/>
          <w:color w:val="333333"/>
        </w:rPr>
        <w:t xml:space="preserve"> </w:t>
      </w:r>
      <w:r w:rsidR="00BA4966">
        <w:rPr>
          <w:rFonts w:eastAsiaTheme="minorEastAsia"/>
          <w:caps/>
          <w:spacing w:val="15"/>
        </w:rPr>
        <w:br/>
      </w:r>
      <w:hyperlink r:id="rId49" w:history="1">
        <w:r w:rsidR="001B3852" w:rsidRPr="005117FC">
          <w:rPr>
            <w:rStyle w:val="Hyperlink"/>
          </w:rPr>
          <w:t>https://www.bmj.com/content/376/bmj.o540</w:t>
        </w:r>
      </w:hyperlink>
      <w:r w:rsidR="001B3852">
        <w:t xml:space="preserve"> </w:t>
      </w:r>
    </w:p>
    <w:p w:rsidR="00BA4966" w:rsidRDefault="00BA4966" w:rsidP="00BA4966">
      <w:pPr>
        <w:shd w:val="clear" w:color="auto" w:fill="FFFFFF"/>
        <w:spacing w:before="100" w:beforeAutospacing="1" w:after="100" w:afterAutospacing="1" w:line="240" w:lineRule="auto"/>
        <w:rPr>
          <w:rFonts w:eastAsia="Times New Roman" w:cs="Arial"/>
          <w:color w:val="000000"/>
          <w:lang w:eastAsia="en-GB"/>
        </w:rPr>
      </w:pPr>
    </w:p>
    <w:p w:rsidR="009F2C74" w:rsidRPr="009F2C74" w:rsidRDefault="00B738F7" w:rsidP="009F2C74">
      <w:pPr>
        <w:pBdr>
          <w:top w:val="single" w:sz="6" w:space="2" w:color="D4802C"/>
          <w:left w:val="single" w:sz="6" w:space="2" w:color="D4802C"/>
        </w:pBdr>
        <w:spacing w:before="300"/>
        <w:outlineLvl w:val="2"/>
        <w:rPr>
          <w:rFonts w:eastAsia="Times New Roman" w:cs="Arial"/>
          <w:color w:val="000000"/>
          <w:lang w:eastAsia="en-GB"/>
        </w:rPr>
      </w:pPr>
      <w:r>
        <w:rPr>
          <w:rFonts w:eastAsiaTheme="minorEastAsia"/>
          <w:b/>
          <w:caps/>
          <w:spacing w:val="15"/>
        </w:rPr>
        <w:lastRenderedPageBreak/>
        <w:t>t</w:t>
      </w:r>
      <w:r w:rsidRPr="008B4670">
        <w:rPr>
          <w:rFonts w:eastAsiaTheme="minorEastAsia"/>
          <w:b/>
          <w:caps/>
          <w:spacing w:val="15"/>
        </w:rPr>
        <w:t>itle:</w:t>
      </w:r>
      <w:r w:rsidRPr="008B4670">
        <w:rPr>
          <w:rFonts w:eastAsiaTheme="minorEastAsia"/>
          <w:caps/>
          <w:spacing w:val="15"/>
        </w:rPr>
        <w:t xml:space="preserve"> </w:t>
      </w:r>
      <w:r w:rsidR="009F2C74" w:rsidRPr="009F2C74">
        <w:rPr>
          <w:rFonts w:eastAsiaTheme="minorEastAsia"/>
          <w:caps/>
          <w:spacing w:val="15"/>
        </w:rPr>
        <w:t>Health System Recovery From Covid-19: International Lessons For The NHS</w:t>
      </w:r>
      <w:r>
        <w:rPr>
          <w:rFonts w:eastAsiaTheme="minorEastAsia"/>
          <w:caps/>
          <w:spacing w:val="15"/>
        </w:rPr>
        <w:br/>
      </w:r>
      <w:r w:rsidR="009F2C74">
        <w:rPr>
          <w:rFonts w:eastAsiaTheme="minorEastAsia"/>
          <w:caps/>
          <w:spacing w:val="15"/>
        </w:rPr>
        <w:br/>
        <w:t>nuffield trust | 4</w:t>
      </w:r>
      <w:r w:rsidR="009F2C74" w:rsidRPr="009F2C74">
        <w:rPr>
          <w:rFonts w:eastAsiaTheme="minorEastAsia"/>
          <w:caps/>
          <w:spacing w:val="15"/>
          <w:vertAlign w:val="superscript"/>
        </w:rPr>
        <w:t>th</w:t>
      </w:r>
      <w:r w:rsidR="009F2C74">
        <w:rPr>
          <w:rFonts w:eastAsiaTheme="minorEastAsia"/>
          <w:caps/>
          <w:spacing w:val="15"/>
        </w:rPr>
        <w:t xml:space="preserve"> </w:t>
      </w:r>
      <w:r w:rsidR="00042493">
        <w:rPr>
          <w:rFonts w:eastAsiaTheme="minorEastAsia"/>
          <w:caps/>
          <w:spacing w:val="15"/>
        </w:rPr>
        <w:t>march</w:t>
      </w:r>
      <w:r>
        <w:rPr>
          <w:rFonts w:eastAsiaTheme="minorEastAsia"/>
          <w:caps/>
          <w:spacing w:val="15"/>
        </w:rPr>
        <w:t xml:space="preserve"> 2022</w:t>
      </w:r>
      <w:r>
        <w:rPr>
          <w:rFonts w:eastAsiaTheme="minorEastAsia"/>
          <w:caps/>
          <w:spacing w:val="15"/>
        </w:rPr>
        <w:br/>
      </w:r>
      <w:r>
        <w:rPr>
          <w:rFonts w:eastAsiaTheme="minorEastAsia"/>
          <w:caps/>
          <w:spacing w:val="15"/>
        </w:rPr>
        <w:br/>
      </w:r>
      <w:r w:rsidR="009F2C74" w:rsidRPr="009F2C74">
        <w:rPr>
          <w:rFonts w:cstheme="minorHAnsi"/>
          <w:color w:val="505050"/>
          <w:lang w:val="en"/>
        </w:rPr>
        <w:t>This report outlines the challenges confronting the NHS in recovering from the pandemic, such as the waiting lists created by the scaling down of elective services. It finds that the pandemic has left even the most well-equipped health systems vulnerable and looks across 16 countries to gain an understanding of the recovery challenge worldwide.</w:t>
      </w:r>
      <w:r w:rsidR="00042493">
        <w:rPr>
          <w:rFonts w:eastAsia="Times New Roman" w:cs="Arial"/>
          <w:color w:val="000000"/>
          <w:lang w:eastAsia="en-GB"/>
        </w:rPr>
        <w:t xml:space="preserve"> </w:t>
      </w:r>
      <w:r w:rsidR="009F2C74">
        <w:rPr>
          <w:rFonts w:eastAsia="Times New Roman" w:cs="Arial"/>
          <w:color w:val="000000"/>
          <w:lang w:eastAsia="en-GB"/>
        </w:rPr>
        <w:br/>
      </w:r>
      <w:r w:rsidR="009F2C74" w:rsidRPr="009F2C74">
        <w:rPr>
          <w:rFonts w:eastAsia="Times New Roman" w:cs="Arial"/>
          <w:color w:val="000000"/>
          <w:lang w:eastAsia="en-GB"/>
        </w:rPr>
        <w:t>•</w:t>
      </w:r>
      <w:hyperlink r:id="rId50" w:history="1">
        <w:r w:rsidR="009F2C74" w:rsidRPr="009F2C74">
          <w:rPr>
            <w:rStyle w:val="Hyperlink"/>
            <w:rFonts w:eastAsia="Times New Roman" w:cs="Arial"/>
            <w:lang w:eastAsia="en-GB"/>
          </w:rPr>
          <w:t>Report</w:t>
        </w:r>
      </w:hyperlink>
    </w:p>
    <w:p w:rsidR="00B738F7" w:rsidRDefault="009F2C74" w:rsidP="009F2C74">
      <w:pPr>
        <w:pBdr>
          <w:top w:val="single" w:sz="6" w:space="2" w:color="D4802C"/>
          <w:left w:val="single" w:sz="6" w:space="2" w:color="D4802C"/>
        </w:pBdr>
        <w:spacing w:before="300"/>
        <w:outlineLvl w:val="2"/>
        <w:rPr>
          <w:rFonts w:eastAsia="Times New Roman" w:cs="Arial"/>
          <w:color w:val="000000"/>
          <w:lang w:eastAsia="en-GB"/>
        </w:rPr>
      </w:pPr>
      <w:r w:rsidRPr="009F2C74">
        <w:rPr>
          <w:rFonts w:eastAsia="Times New Roman" w:cs="Arial"/>
          <w:color w:val="000000"/>
          <w:lang w:eastAsia="en-GB"/>
        </w:rPr>
        <w:t>•</w:t>
      </w:r>
      <w:hyperlink r:id="rId51" w:history="1">
        <w:r w:rsidRPr="009F2C74">
          <w:rPr>
            <w:rStyle w:val="Hyperlink"/>
            <w:rFonts w:eastAsia="Times New Roman" w:cs="Arial"/>
            <w:lang w:eastAsia="en-GB"/>
          </w:rPr>
          <w:t>Nuffield Trust - publications</w:t>
        </w:r>
      </w:hyperlink>
    </w:p>
    <w:p w:rsidR="00B738F7" w:rsidRDefault="00B738F7" w:rsidP="00B738F7">
      <w:pPr>
        <w:shd w:val="clear" w:color="auto" w:fill="FFFFFF"/>
        <w:spacing w:before="100" w:beforeAutospacing="1" w:after="100" w:afterAutospacing="1" w:line="240" w:lineRule="auto"/>
        <w:rPr>
          <w:rFonts w:eastAsia="Times New Roman" w:cs="Arial"/>
          <w:color w:val="000000"/>
          <w:lang w:eastAsia="en-GB"/>
        </w:rPr>
      </w:pPr>
    </w:p>
    <w:p w:rsidR="0024067F" w:rsidRPr="00627D72" w:rsidRDefault="0024067F" w:rsidP="0024067F">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
          <w:bCs/>
          <w:caps/>
          <w:color w:val="FFFFFF" w:themeColor="background1"/>
          <w:spacing w:val="15"/>
        </w:rPr>
      </w:pPr>
      <w:r>
        <w:rPr>
          <w:rFonts w:ascii="Dotum" w:eastAsiaTheme="minorEastAsia" w:hAnsi="Dotum"/>
          <w:b/>
          <w:bCs/>
          <w:caps/>
          <w:color w:val="FFFFFF" w:themeColor="background1"/>
          <w:spacing w:val="15"/>
        </w:rPr>
        <w:t>HEALTH INEQUALITIES</w:t>
      </w:r>
    </w:p>
    <w:p w:rsidR="00EB2DD9" w:rsidRDefault="00EB2DD9" w:rsidP="00EB2DD9"/>
    <w:p w:rsidR="0013781F" w:rsidRDefault="0013781F" w:rsidP="0013781F">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3B7C67" w:rsidRPr="003B7C67">
        <w:rPr>
          <w:rFonts w:eastAsiaTheme="minorEastAsia"/>
          <w:caps/>
          <w:spacing w:val="15"/>
        </w:rPr>
        <w:t>Focusing on the Needs of People With Hearing Loss During the COVID-19 Pandemic and Beyond</w:t>
      </w:r>
    </w:p>
    <w:p w:rsidR="003B7C67" w:rsidRPr="003B7C67" w:rsidRDefault="003B7C67" w:rsidP="003B7C67">
      <w:pPr>
        <w:pBdr>
          <w:top w:val="single" w:sz="6" w:space="2" w:color="D4802C"/>
          <w:left w:val="single" w:sz="6" w:space="2" w:color="D4802C"/>
        </w:pBdr>
        <w:spacing w:before="300"/>
        <w:outlineLvl w:val="2"/>
        <w:rPr>
          <w:rFonts w:cstheme="minorHAnsi"/>
          <w:color w:val="333333"/>
          <w:shd w:val="clear" w:color="auto" w:fill="FFFFFF"/>
        </w:rPr>
      </w:pPr>
      <w:r>
        <w:rPr>
          <w:rFonts w:eastAsiaTheme="minorEastAsia"/>
          <w:caps/>
          <w:spacing w:val="15"/>
        </w:rPr>
        <w:t>jama | 3</w:t>
      </w:r>
      <w:r w:rsidRPr="003B7C67">
        <w:rPr>
          <w:rFonts w:eastAsiaTheme="minorEastAsia"/>
          <w:caps/>
          <w:spacing w:val="15"/>
          <w:vertAlign w:val="superscript"/>
        </w:rPr>
        <w:t>rd</w:t>
      </w:r>
      <w:r>
        <w:rPr>
          <w:rFonts w:eastAsiaTheme="minorEastAsia"/>
          <w:caps/>
          <w:spacing w:val="15"/>
        </w:rPr>
        <w:t xml:space="preserve"> march</w:t>
      </w:r>
      <w:r w:rsidR="0013781F">
        <w:rPr>
          <w:rFonts w:eastAsiaTheme="minorEastAsia"/>
          <w:caps/>
          <w:spacing w:val="15"/>
        </w:rPr>
        <w:t xml:space="preserve"> 2022</w:t>
      </w:r>
      <w:r w:rsidR="0013781F">
        <w:rPr>
          <w:rFonts w:eastAsiaTheme="minorEastAsia"/>
          <w:caps/>
          <w:spacing w:val="15"/>
        </w:rPr>
        <w:br/>
      </w:r>
      <w:r w:rsidR="0013781F">
        <w:br/>
      </w:r>
      <w:r>
        <w:rPr>
          <w:rFonts w:cstheme="minorHAnsi"/>
          <w:color w:val="333333"/>
          <w:shd w:val="clear" w:color="auto" w:fill="FFFFFF"/>
        </w:rPr>
        <w:t>A</w:t>
      </w:r>
      <w:r w:rsidRPr="003B7C67">
        <w:rPr>
          <w:rFonts w:cstheme="minorHAnsi"/>
          <w:color w:val="333333"/>
          <w:shd w:val="clear" w:color="auto" w:fill="FFFFFF"/>
        </w:rPr>
        <w:t>fter more than 2 years of the COVID-19 pandemic response, face masks remain ubiquitous in public places and are sometimes used in conjunction with plexiglass shields or other barriers to communication. In a survey of 641 people with hearing loss,1 the proportion reporting difficulty in understanding people wearing masks was 76% among those with moderate hearing loss and 95% among those with profound hearing loss.</w:t>
      </w:r>
      <w:r w:rsidR="001B3852">
        <w:rPr>
          <w:rFonts w:cstheme="minorHAnsi"/>
          <w:color w:val="333333"/>
          <w:shd w:val="clear" w:color="auto" w:fill="FFFFFF"/>
        </w:rPr>
        <w:t xml:space="preserve"> </w:t>
      </w:r>
      <w:r w:rsidRPr="003B7C67">
        <w:rPr>
          <w:rFonts w:cstheme="minorHAnsi"/>
          <w:color w:val="333333"/>
          <w:shd w:val="clear" w:color="auto" w:fill="FFFFFF"/>
        </w:rPr>
        <w:t xml:space="preserve"> </w:t>
      </w:r>
    </w:p>
    <w:p w:rsidR="0013781F" w:rsidRDefault="003B7C67" w:rsidP="003B7C67">
      <w:pPr>
        <w:pBdr>
          <w:top w:val="single" w:sz="6" w:space="2" w:color="D4802C"/>
          <w:left w:val="single" w:sz="6" w:space="2" w:color="D4802C"/>
        </w:pBdr>
        <w:spacing w:before="300"/>
        <w:outlineLvl w:val="2"/>
      </w:pPr>
      <w:r w:rsidRPr="003B7C67">
        <w:rPr>
          <w:rFonts w:cstheme="minorHAnsi"/>
          <w:color w:val="333333"/>
          <w:shd w:val="clear" w:color="auto" w:fill="FFFFFF"/>
        </w:rPr>
        <w:t>Briefly removing a mask to facilitate conversation is often discouraged, but alternatives (such as transparent masks) are usually unavailable (even in health facilities and government offices). These policies are not specific to pandemic control and reflect a lack of awareness of the needs of people with hearing loss. March 3, 2022, is World Hearing Day, which is an opportunity to reflect on how best to address these needs and mitigate the costs and consequences of hearing loss.</w:t>
      </w:r>
      <w:r>
        <w:rPr>
          <w:rFonts w:cstheme="minorHAnsi"/>
          <w:color w:val="333333"/>
          <w:shd w:val="clear" w:color="auto" w:fill="FFFFFF"/>
        </w:rPr>
        <w:t xml:space="preserve"> </w:t>
      </w:r>
      <w:r w:rsidR="0013781F">
        <w:rPr>
          <w:rFonts w:cstheme="minorHAnsi"/>
          <w:color w:val="333333"/>
          <w:shd w:val="clear" w:color="auto" w:fill="FFFFFF"/>
        </w:rPr>
        <w:br/>
      </w:r>
      <w:hyperlink r:id="rId52" w:history="1">
        <w:r w:rsidRPr="005117FC">
          <w:rPr>
            <w:rStyle w:val="Hyperlink"/>
          </w:rPr>
          <w:t>https://jamanetwork.com/journals/jama/fullarticle/2789772</w:t>
        </w:r>
      </w:hyperlink>
      <w:r>
        <w:t xml:space="preserve"> </w:t>
      </w:r>
    </w:p>
    <w:p w:rsidR="0013781F" w:rsidRDefault="0013781F" w:rsidP="0024067F"/>
    <w:p w:rsidR="003B7C67" w:rsidRPr="003B7C67" w:rsidRDefault="0013781F" w:rsidP="003B7C67">
      <w:pPr>
        <w:pBdr>
          <w:top w:val="single" w:sz="6" w:space="2" w:color="D4802C"/>
          <w:left w:val="single" w:sz="6" w:space="2" w:color="D4802C"/>
        </w:pBdr>
        <w:spacing w:before="300"/>
        <w:outlineLvl w:val="2"/>
        <w:rPr>
          <w:rFonts w:eastAsiaTheme="minorEastAsia"/>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3B7C67" w:rsidRPr="003B7C67">
        <w:rPr>
          <w:rFonts w:eastAsiaTheme="minorEastAsia"/>
          <w:caps/>
          <w:spacing w:val="15"/>
        </w:rPr>
        <w:t>Trends in Mortality Rates Among Medicare Enrollees With Alzheimer Disease and Related Dementias Before and During the Early Phase of the COVID-19 Pandemic</w:t>
      </w:r>
      <w:r w:rsidR="003B7C67">
        <w:rPr>
          <w:rFonts w:eastAsiaTheme="minorEastAsia"/>
          <w:caps/>
          <w:spacing w:val="15"/>
        </w:rPr>
        <w:br/>
      </w:r>
      <w:r w:rsidR="003B7C67">
        <w:rPr>
          <w:rFonts w:eastAsiaTheme="minorEastAsia"/>
          <w:caps/>
          <w:spacing w:val="15"/>
        </w:rPr>
        <w:br/>
      </w:r>
      <w:r w:rsidR="003B7C67">
        <w:rPr>
          <w:rFonts w:eastAsiaTheme="minorEastAsia"/>
          <w:caps/>
          <w:spacing w:val="15"/>
        </w:rPr>
        <w:lastRenderedPageBreak/>
        <w:t>JAMA NEUROLOGY | 28</w:t>
      </w:r>
      <w:r w:rsidR="003B7C67" w:rsidRPr="003B7C67">
        <w:rPr>
          <w:rFonts w:eastAsiaTheme="minorEastAsia"/>
          <w:caps/>
          <w:spacing w:val="15"/>
          <w:vertAlign w:val="superscript"/>
        </w:rPr>
        <w:t>th</w:t>
      </w:r>
      <w:r w:rsidR="003B7C67">
        <w:rPr>
          <w:rFonts w:eastAsiaTheme="minorEastAsia"/>
          <w:caps/>
          <w:spacing w:val="15"/>
        </w:rPr>
        <w:t xml:space="preserve"> </w:t>
      </w:r>
      <w:r>
        <w:rPr>
          <w:rFonts w:eastAsiaTheme="minorEastAsia"/>
          <w:caps/>
          <w:spacing w:val="15"/>
        </w:rPr>
        <w:t>FEBRUARY 2022</w:t>
      </w:r>
      <w:r>
        <w:rPr>
          <w:rFonts w:eastAsiaTheme="minorEastAsia"/>
          <w:caps/>
          <w:spacing w:val="15"/>
        </w:rPr>
        <w:br/>
      </w:r>
      <w:r>
        <w:rPr>
          <w:rFonts w:eastAsiaTheme="minorEastAsia"/>
          <w:caps/>
          <w:spacing w:val="15"/>
        </w:rPr>
        <w:br/>
      </w:r>
      <w:r w:rsidR="003B7C67" w:rsidRPr="003B7C67">
        <w:rPr>
          <w:rFonts w:eastAsiaTheme="minorEastAsia"/>
        </w:rPr>
        <w:t>Question  Is the COVID-19 pandemic associated with changes in mortality among older adults with Alzheimer disease and related dementias (ADRD)?</w:t>
      </w:r>
    </w:p>
    <w:p w:rsidR="003B7C67" w:rsidRPr="003B7C67" w:rsidRDefault="003B7C67" w:rsidP="003B7C67">
      <w:pPr>
        <w:pBdr>
          <w:top w:val="single" w:sz="6" w:space="2" w:color="D4802C"/>
          <w:left w:val="single" w:sz="6" w:space="2" w:color="D4802C"/>
        </w:pBdr>
        <w:spacing w:before="300"/>
        <w:outlineLvl w:val="2"/>
        <w:rPr>
          <w:rFonts w:eastAsiaTheme="minorEastAsia"/>
        </w:rPr>
      </w:pPr>
      <w:r w:rsidRPr="003B7C67">
        <w:rPr>
          <w:rFonts w:eastAsiaTheme="minorEastAsia"/>
        </w:rPr>
        <w:t>Findings  In this cross-sectional study of 53 640 888 Medicare enrollees 65 years of age or older, compared with 2019, mortality was 12% higher among beneficiaries without ADRD and 26% higher among beneficiaries with ADRD in 2020. Among nursing home residents without ADRD, mortality was 24% higher, and among nursing home residents with ADRD, mortality was 33% higher.</w:t>
      </w:r>
    </w:p>
    <w:p w:rsidR="0013781F" w:rsidRDefault="003B7C67" w:rsidP="003B7C67">
      <w:pPr>
        <w:pBdr>
          <w:top w:val="single" w:sz="6" w:space="2" w:color="D4802C"/>
          <w:left w:val="single" w:sz="6" w:space="2" w:color="D4802C"/>
        </w:pBdr>
        <w:spacing w:before="300"/>
        <w:outlineLvl w:val="2"/>
        <w:rPr>
          <w:rFonts w:eastAsiaTheme="minorEastAsia"/>
        </w:rPr>
      </w:pPr>
      <w:r w:rsidRPr="003B7C67">
        <w:rPr>
          <w:rFonts w:eastAsiaTheme="minorEastAsia"/>
        </w:rPr>
        <w:t>Meaning  These findings suggest that the COVID-19 pandemic was associated with increased mortality among older Medicare enrollees with ADRD, especially among beneficiaries living in nursing homes.</w:t>
      </w:r>
      <w:r>
        <w:rPr>
          <w:rFonts w:eastAsiaTheme="minorEastAsia"/>
        </w:rPr>
        <w:br/>
      </w:r>
      <w:hyperlink r:id="rId53" w:history="1">
        <w:r w:rsidRPr="005117FC">
          <w:rPr>
            <w:rStyle w:val="Hyperlink"/>
            <w:rFonts w:eastAsiaTheme="minorEastAsia"/>
          </w:rPr>
          <w:t>https://jamanetwork.com/journals/jamaneurology/fullarticle/2789614</w:t>
        </w:r>
      </w:hyperlink>
      <w:r>
        <w:rPr>
          <w:rFonts w:eastAsiaTheme="minorEastAsia"/>
        </w:rPr>
        <w:t xml:space="preserve"> </w:t>
      </w:r>
    </w:p>
    <w:p w:rsidR="0013781F" w:rsidRDefault="0013781F" w:rsidP="0024067F"/>
    <w:p w:rsidR="003C6AF4" w:rsidRPr="008B4670" w:rsidRDefault="003C6AF4" w:rsidP="00E65F31">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E65F31" w:rsidRPr="00E65F31">
        <w:rPr>
          <w:rFonts w:eastAsiaTheme="minorEastAsia"/>
          <w:caps/>
          <w:spacing w:val="15"/>
        </w:rPr>
        <w:t>Addressing Vulnerability and Dementia in the Era of COVID-19</w:t>
      </w:r>
    </w:p>
    <w:p w:rsidR="003C6AF4" w:rsidRPr="00740699" w:rsidRDefault="00E65F31" w:rsidP="003C6AF4">
      <w:pPr>
        <w:pBdr>
          <w:top w:val="single" w:sz="6" w:space="2" w:color="D4802C"/>
          <w:left w:val="single" w:sz="6" w:space="2" w:color="D4802C"/>
        </w:pBdr>
        <w:spacing w:before="300"/>
        <w:outlineLvl w:val="2"/>
        <w:rPr>
          <w:rFonts w:eastAsiaTheme="minorEastAsia" w:cstheme="minorHAnsi"/>
        </w:rPr>
      </w:pPr>
      <w:r>
        <w:rPr>
          <w:rFonts w:eastAsiaTheme="minorEastAsia"/>
          <w:caps/>
          <w:spacing w:val="15"/>
        </w:rPr>
        <w:t>JAMA neurology| 28</w:t>
      </w:r>
      <w:r w:rsidRPr="00E65F31">
        <w:rPr>
          <w:rFonts w:eastAsiaTheme="minorEastAsia"/>
          <w:caps/>
          <w:spacing w:val="15"/>
          <w:vertAlign w:val="superscript"/>
        </w:rPr>
        <w:t>th</w:t>
      </w:r>
      <w:r>
        <w:rPr>
          <w:rFonts w:eastAsiaTheme="minorEastAsia"/>
          <w:caps/>
          <w:spacing w:val="15"/>
        </w:rPr>
        <w:t xml:space="preserve"> </w:t>
      </w:r>
      <w:r w:rsidR="003C6AF4">
        <w:rPr>
          <w:rFonts w:eastAsiaTheme="minorEastAsia"/>
          <w:caps/>
          <w:spacing w:val="15"/>
        </w:rPr>
        <w:t>FEBRUARY 2022</w:t>
      </w:r>
      <w:r w:rsidR="003C6AF4">
        <w:rPr>
          <w:rFonts w:eastAsiaTheme="minorEastAsia"/>
          <w:caps/>
          <w:spacing w:val="15"/>
        </w:rPr>
        <w:br/>
      </w:r>
      <w:r w:rsidR="003C6AF4">
        <w:br/>
      </w:r>
      <w:r>
        <w:rPr>
          <w:rFonts w:cstheme="minorHAnsi"/>
          <w:color w:val="505050"/>
          <w:shd w:val="clear" w:color="auto" w:fill="FFFFFF"/>
        </w:rPr>
        <w:t>T</w:t>
      </w:r>
      <w:r w:rsidRPr="00E65F31">
        <w:rPr>
          <w:rFonts w:cstheme="minorHAnsi"/>
          <w:color w:val="505050"/>
          <w:shd w:val="clear" w:color="auto" w:fill="FFFFFF"/>
        </w:rPr>
        <w:t>he medical community was quick to recognize that dementia and other comorbidities of older age left older individuals prone to severe illness and death from COVID-19.1,2 Yet the impact of the COVID-19 pandemic has had far broader consequences to population health than can be attributed to the virus itself. The indirect effects of COVID-19, including increased adoption of telehealth, decreased access to community resources, and social isolation, carry their own health burden and disproportionately affect older adults with dementia who have consolidated social networks and increased functional dependence on communities and health systems. However, the actual impact of these changes on mortality has thus far been inadequately understood and recognized.</w:t>
      </w:r>
      <w:r>
        <w:rPr>
          <w:rFonts w:cstheme="minorHAnsi"/>
          <w:color w:val="505050"/>
          <w:shd w:val="clear" w:color="auto" w:fill="FFFFFF"/>
        </w:rPr>
        <w:t xml:space="preserve">    </w:t>
      </w:r>
      <w:r>
        <w:rPr>
          <w:rFonts w:cstheme="minorHAnsi"/>
          <w:color w:val="505050"/>
          <w:shd w:val="clear" w:color="auto" w:fill="FFFFFF"/>
        </w:rPr>
        <w:br/>
      </w:r>
      <w:hyperlink r:id="rId54" w:history="1">
        <w:r w:rsidRPr="005117FC">
          <w:rPr>
            <w:rStyle w:val="Hyperlink"/>
            <w:rFonts w:eastAsiaTheme="minorEastAsia" w:cstheme="minorHAnsi"/>
          </w:rPr>
          <w:t>https://jamanetwork.com/journals/jamaneurology/fullarticle/2789616</w:t>
        </w:r>
      </w:hyperlink>
      <w:r>
        <w:rPr>
          <w:rFonts w:eastAsiaTheme="minorEastAsia" w:cstheme="minorHAnsi"/>
        </w:rPr>
        <w:t xml:space="preserve"> </w:t>
      </w:r>
    </w:p>
    <w:p w:rsidR="003C6AF4" w:rsidRDefault="003C6AF4" w:rsidP="0024067F"/>
    <w:p w:rsidR="00685D87" w:rsidRDefault="00685D87" w:rsidP="00685D87">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E65F31" w:rsidRPr="00E65F31">
        <w:rPr>
          <w:rFonts w:eastAsiaTheme="minorEastAsia"/>
          <w:caps/>
          <w:spacing w:val="15"/>
        </w:rPr>
        <w:t>Quantifying the effects of the COVID-19 pandemic on gender equality on health, social, and economic indicators: a comprehensive review of data from March, 2020, to September, 2021</w:t>
      </w:r>
    </w:p>
    <w:p w:rsidR="00E65F31" w:rsidRDefault="00E65F31" w:rsidP="00E65F31">
      <w:pPr>
        <w:pBdr>
          <w:top w:val="single" w:sz="6" w:space="2" w:color="D4802C"/>
          <w:left w:val="single" w:sz="6" w:space="2" w:color="D4802C"/>
        </w:pBdr>
        <w:spacing w:before="300"/>
        <w:outlineLvl w:val="2"/>
      </w:pPr>
      <w:r>
        <w:rPr>
          <w:rFonts w:eastAsiaTheme="minorEastAsia"/>
          <w:caps/>
          <w:spacing w:val="15"/>
        </w:rPr>
        <w:t>the lancet | 2</w:t>
      </w:r>
      <w:r w:rsidRPr="00E65F31">
        <w:rPr>
          <w:rFonts w:eastAsiaTheme="minorEastAsia"/>
          <w:caps/>
          <w:spacing w:val="15"/>
          <w:vertAlign w:val="superscript"/>
        </w:rPr>
        <w:t>nd</w:t>
      </w:r>
      <w:r>
        <w:rPr>
          <w:rFonts w:eastAsiaTheme="minorEastAsia"/>
          <w:caps/>
          <w:spacing w:val="15"/>
        </w:rPr>
        <w:t xml:space="preserve"> march</w:t>
      </w:r>
      <w:r w:rsidR="00685D87">
        <w:rPr>
          <w:rFonts w:eastAsiaTheme="minorEastAsia"/>
          <w:caps/>
          <w:spacing w:val="15"/>
        </w:rPr>
        <w:t xml:space="preserve"> 2022</w:t>
      </w:r>
      <w:r w:rsidR="00EB2DD9">
        <w:rPr>
          <w:rFonts w:eastAsiaTheme="minorEastAsia"/>
          <w:caps/>
          <w:spacing w:val="15"/>
        </w:rPr>
        <w:br/>
      </w:r>
      <w:r w:rsidR="00685D87">
        <w:rPr>
          <w:rFonts w:eastAsiaTheme="minorEastAsia"/>
          <w:caps/>
          <w:spacing w:val="15"/>
        </w:rPr>
        <w:br/>
      </w:r>
      <w:r>
        <w:t xml:space="preserve"> </w:t>
      </w:r>
      <w:r>
        <w:t>Background</w:t>
      </w:r>
      <w:r w:rsidR="001B3852">
        <w:t xml:space="preserve">. </w:t>
      </w:r>
      <w:r>
        <w:t>Gender is emerging as a significant factor in the social, economic, and health effects of COVID-19. However, most existing studies have focused on its direct impact on health. Here, we aimed to explore the indirect effects of COVID-19 on gender disparities globally.</w:t>
      </w:r>
    </w:p>
    <w:p w:rsidR="00E65F31" w:rsidRDefault="00E65F31" w:rsidP="00E65F31">
      <w:pPr>
        <w:pBdr>
          <w:top w:val="single" w:sz="6" w:space="2" w:color="D4802C"/>
          <w:left w:val="single" w:sz="6" w:space="2" w:color="D4802C"/>
        </w:pBdr>
        <w:spacing w:before="300"/>
        <w:outlineLvl w:val="2"/>
      </w:pPr>
      <w:r>
        <w:lastRenderedPageBreak/>
        <w:t>Methods</w:t>
      </w:r>
      <w:r w:rsidR="001B3852">
        <w:t xml:space="preserve">. </w:t>
      </w:r>
      <w:r>
        <w:t>We reviewed publicly available datasets with information on indicators related to vaccine hesitancy and uptake, health care services, economic and work-related concerns, education, and safety at home and in the community. We used mixed effects regression, Gaussian process regression, and bootstrapping to synthesise all data sources. We accounted for uncertainty in the underlying data and modelling process. We then used mixed effects logistic regression to explore gender gaps globally and by region.</w:t>
      </w:r>
    </w:p>
    <w:p w:rsidR="00E65F31" w:rsidRDefault="00E65F31" w:rsidP="00E65F31">
      <w:pPr>
        <w:pBdr>
          <w:top w:val="single" w:sz="6" w:space="2" w:color="D4802C"/>
          <w:left w:val="single" w:sz="6" w:space="2" w:color="D4802C"/>
        </w:pBdr>
        <w:spacing w:before="300"/>
        <w:outlineLvl w:val="2"/>
      </w:pPr>
      <w:r>
        <w:t>Findings</w:t>
      </w:r>
      <w:r w:rsidR="001B3852">
        <w:t xml:space="preserve">. </w:t>
      </w:r>
      <w:r>
        <w:t>Between March, 2020, and September, 2021, women were more likely to report employment loss (26·0% [95% uncertainty interval 23·8–28·8, by September, 2021) than men (20·4% [18·2–22·9], by September, 2021), as well as forgoing work to care for others (ratio of women to men: 1·8 by March, 2020, and 2·4 by September, 2021). Women and girls were 1·21 times (1·20–1·21) more likely than men and boys to report dropping out of school for reasons other than school closures. Women were also 1·23 (1·22–1·23) times more likely than men to report that gender-based violence had increased during the pandemic. By September 2021, women and men did not differ significantly in vaccine hesitancy or uptake.</w:t>
      </w:r>
    </w:p>
    <w:p w:rsidR="00EB2DD9" w:rsidRDefault="00E65F31" w:rsidP="00E65F31">
      <w:pPr>
        <w:pBdr>
          <w:top w:val="single" w:sz="6" w:space="2" w:color="D4802C"/>
          <w:left w:val="single" w:sz="6" w:space="2" w:color="D4802C"/>
        </w:pBdr>
        <w:spacing w:before="300"/>
        <w:outlineLvl w:val="2"/>
      </w:pPr>
      <w:r>
        <w:t>Interpretation</w:t>
      </w:r>
      <w:r w:rsidR="001B3852">
        <w:t xml:space="preserve">. </w:t>
      </w:r>
      <w:r>
        <w:t>The most significant gender gaps identified in our study show intensified levels of pre-existing widespread inequalities between women and men during the COVID-19 pandemic. Political and social leaders should prioritise policies that enable and encourage women to participate in the labour force and continue their education, thereby equipping and enabling them with greater ability to overcome the barriers they face</w:t>
      </w:r>
      <w:r>
        <w:t>.</w:t>
      </w:r>
      <w:r>
        <w:br/>
      </w:r>
      <w:hyperlink r:id="rId55" w:history="1">
        <w:r w:rsidRPr="005117FC">
          <w:rPr>
            <w:rStyle w:val="Hyperlink"/>
          </w:rPr>
          <w:t>https://www.thelancet.com/journals/lancet/article/PIIS0140-6736(22)00008-3/fulltext</w:t>
        </w:r>
      </w:hyperlink>
      <w:r>
        <w:t xml:space="preserve"> </w:t>
      </w:r>
    </w:p>
    <w:p w:rsidR="00685D87" w:rsidRDefault="00685D87" w:rsidP="00685D87">
      <w:pPr>
        <w:pStyle w:val="Heading4"/>
        <w:spacing w:before="0" w:after="120"/>
        <w:rPr>
          <w:rFonts w:ascii="Arial" w:hAnsi="Arial" w:cs="Arial"/>
          <w:color w:val="323232"/>
          <w:sz w:val="24"/>
          <w:szCs w:val="24"/>
          <w:shd w:val="clear" w:color="auto" w:fill="FFF9A9"/>
        </w:rPr>
      </w:pPr>
    </w:p>
    <w:p w:rsidR="00EB2DD9" w:rsidRDefault="00EB2DD9" w:rsidP="00EB2DD9">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BE354B" w:rsidRPr="00BE354B">
        <w:rPr>
          <w:rFonts w:eastAsiaTheme="minorEastAsia"/>
          <w:caps/>
          <w:spacing w:val="15"/>
        </w:rPr>
        <w:t>Assessment of Structural Barriers and Racial Group Disparities of COVID-19 Mortality With Spatial Analysis</w:t>
      </w:r>
    </w:p>
    <w:p w:rsidR="00BE354B" w:rsidRPr="001B3852" w:rsidRDefault="00BE354B" w:rsidP="00BE354B">
      <w:pPr>
        <w:pBdr>
          <w:top w:val="single" w:sz="6" w:space="2" w:color="D4802C"/>
          <w:left w:val="single" w:sz="6" w:space="2" w:color="D4802C"/>
        </w:pBdr>
        <w:spacing w:before="300"/>
        <w:outlineLvl w:val="2"/>
        <w:rPr>
          <w:rFonts w:cstheme="minorHAnsi"/>
          <w:color w:val="333333"/>
        </w:rPr>
      </w:pPr>
      <w:r>
        <w:rPr>
          <w:rFonts w:eastAsiaTheme="minorEastAsia"/>
          <w:caps/>
          <w:spacing w:val="15"/>
        </w:rPr>
        <w:t>jama | 4</w:t>
      </w:r>
      <w:r w:rsidRPr="00BE354B">
        <w:rPr>
          <w:rFonts w:eastAsiaTheme="minorEastAsia"/>
          <w:caps/>
          <w:spacing w:val="15"/>
          <w:vertAlign w:val="superscript"/>
        </w:rPr>
        <w:t>th</w:t>
      </w:r>
      <w:r>
        <w:rPr>
          <w:rFonts w:eastAsiaTheme="minorEastAsia"/>
          <w:caps/>
          <w:spacing w:val="15"/>
        </w:rPr>
        <w:t xml:space="preserve"> march</w:t>
      </w:r>
      <w:r w:rsidR="00EB2DD9">
        <w:rPr>
          <w:rFonts w:eastAsiaTheme="minorEastAsia"/>
          <w:caps/>
          <w:spacing w:val="15"/>
        </w:rPr>
        <w:t xml:space="preserve"> 2022</w:t>
      </w:r>
      <w:r w:rsidR="00EB2DD9">
        <w:rPr>
          <w:rFonts w:eastAsiaTheme="minorEastAsia"/>
          <w:caps/>
          <w:spacing w:val="15"/>
        </w:rPr>
        <w:br/>
      </w:r>
      <w:r w:rsidR="00EB2DD9">
        <w:rPr>
          <w:rFonts w:eastAsiaTheme="minorEastAsia"/>
          <w:caps/>
          <w:spacing w:val="15"/>
        </w:rPr>
        <w:br/>
      </w:r>
      <w:r w:rsidR="001B3852">
        <w:rPr>
          <w:rFonts w:cstheme="minorHAnsi"/>
          <w:color w:val="333333"/>
        </w:rPr>
        <w:t>Q</w:t>
      </w:r>
      <w:r w:rsidRPr="001B3852">
        <w:rPr>
          <w:rFonts w:cstheme="minorHAnsi"/>
          <w:color w:val="333333"/>
        </w:rPr>
        <w:t>uestion  How do the associations between structural factors and COVID-19 mortality help explain the disproportionate outcomes experienced by different racial and ethnic groups?</w:t>
      </w:r>
    </w:p>
    <w:p w:rsidR="00BE354B" w:rsidRPr="001B3852" w:rsidRDefault="00BE354B" w:rsidP="00BE354B">
      <w:pPr>
        <w:pBdr>
          <w:top w:val="single" w:sz="6" w:space="2" w:color="D4802C"/>
          <w:left w:val="single" w:sz="6" w:space="2" w:color="D4802C"/>
        </w:pBdr>
        <w:spacing w:before="300"/>
        <w:outlineLvl w:val="2"/>
        <w:rPr>
          <w:rFonts w:cstheme="minorHAnsi"/>
          <w:color w:val="333333"/>
        </w:rPr>
      </w:pPr>
      <w:r w:rsidRPr="001B3852">
        <w:rPr>
          <w:rFonts w:cstheme="minorHAnsi"/>
          <w:color w:val="333333"/>
        </w:rPr>
        <w:t>Findings  In this cross-sectional study of 3142 counties in 50 US states and the District of Columbia, the associations between different measures of social determinants of health and COVID-19 mortality varied across racial and ethnic groups (Black or African American, Hispanic or Latinx, and non-Hispanic White populations) and different community types (rural, suburban, and urban areas).</w:t>
      </w:r>
    </w:p>
    <w:p w:rsidR="00930E75" w:rsidRDefault="00BE354B" w:rsidP="0061137C">
      <w:pPr>
        <w:pBdr>
          <w:top w:val="single" w:sz="6" w:space="2" w:color="D4802C"/>
          <w:left w:val="single" w:sz="6" w:space="2" w:color="D4802C"/>
        </w:pBdr>
        <w:spacing w:before="300"/>
        <w:outlineLvl w:val="2"/>
      </w:pPr>
      <w:r w:rsidRPr="001B3852">
        <w:rPr>
          <w:rFonts w:cstheme="minorHAnsi"/>
          <w:color w:val="333333"/>
        </w:rPr>
        <w:t>Meaning  Findings from this study suggest the need for future research that addresses health inequity and guides policies and programs by further exploring the different dimensions and regional patterns of social determinants of health</w:t>
      </w:r>
      <w:r w:rsidR="00EB2DD9" w:rsidRPr="001B3852">
        <w:rPr>
          <w:rFonts w:cstheme="minorHAnsi"/>
          <w:color w:val="333333"/>
        </w:rPr>
        <w:br/>
      </w:r>
      <w:hyperlink r:id="rId56" w:history="1">
        <w:r w:rsidRPr="001B3852">
          <w:rPr>
            <w:rStyle w:val="Hyperlink"/>
            <w:rFonts w:eastAsia="Times New Roman" w:cstheme="minorHAnsi"/>
            <w:lang w:eastAsia="en-GB"/>
          </w:rPr>
          <w:t>https://jamanetwork.com/journals/jamanetworkopen/fullarticle/2789619</w:t>
        </w:r>
      </w:hyperlink>
      <w:r w:rsidRPr="001B3852">
        <w:rPr>
          <w:rFonts w:eastAsia="Times New Roman" w:cstheme="minorHAnsi"/>
          <w:color w:val="333333"/>
          <w:lang w:eastAsia="en-GB"/>
        </w:rPr>
        <w:t xml:space="preserve"> </w:t>
      </w:r>
      <w:bookmarkStart w:id="0" w:name="_GoBack"/>
      <w:bookmarkEnd w:id="0"/>
      <w:r w:rsidR="00420EC3">
        <w:rPr>
          <w:noProof/>
          <w:lang w:eastAsia="en-GB"/>
        </w:rPr>
        <mc:AlternateContent>
          <mc:Choice Requires="wps">
            <w:drawing>
              <wp:anchor distT="0" distB="0" distL="114300" distR="114300" simplePos="0" relativeHeight="251659264" behindDoc="0" locked="0" layoutInCell="1" allowOverlap="1" wp14:anchorId="36EFB5D5" wp14:editId="251F6EC4">
                <wp:simplePos x="0" y="0"/>
                <wp:positionH relativeFrom="column">
                  <wp:posOffset>-2038350</wp:posOffset>
                </wp:positionH>
                <wp:positionV relativeFrom="paragraph">
                  <wp:posOffset>992505</wp:posOffset>
                </wp:positionV>
                <wp:extent cx="10134600" cy="27241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0134600" cy="2724150"/>
                        </a:xfrm>
                        <a:prstGeom prst="rect">
                          <a:avLst/>
                        </a:prstGeom>
                        <a:noFill/>
                        <a:ln>
                          <a:solidFill>
                            <a:srgbClr val="8A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85D87" w:rsidRDefault="00685D87" w:rsidP="003A63F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EFB5D5" id="Rectangle 5" o:spid="_x0000_s1028" style="position:absolute;margin-left:-160.5pt;margin-top:78.15pt;width:798pt;height:2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" filled="f" strokecolor="#8a0000" strokeweight="2pt">
                <v:textbox>
                  <w:txbxContent>
                    <w:p w:rsidR="00685D87" w:rsidRDefault="00685D87" w:rsidP="003A63FA">
                      <w:pPr>
                        <w:jc w:val="center"/>
                      </w:pPr>
                    </w:p>
                  </w:txbxContent>
                </v:textbox>
              </v:rect>
            </w:pict>
          </mc:Fallback>
        </mc:AlternateContent>
      </w:r>
      <w:r w:rsidR="00420EC3">
        <w:rPr>
          <w:noProof/>
          <w:lang w:eastAsia="en-GB"/>
        </w:rPr>
        <mc:AlternateContent>
          <mc:Choice Requires="wps">
            <w:drawing>
              <wp:anchor distT="0" distB="0" distL="114300" distR="114300" simplePos="0" relativeHeight="251660288" behindDoc="0" locked="0" layoutInCell="1" allowOverlap="1" wp14:anchorId="425C6C86" wp14:editId="6EBC2DD0">
                <wp:simplePos x="0" y="0"/>
                <wp:positionH relativeFrom="column">
                  <wp:posOffset>-533400</wp:posOffset>
                </wp:positionH>
                <wp:positionV relativeFrom="paragraph">
                  <wp:posOffset>107315</wp:posOffset>
                </wp:positionV>
                <wp:extent cx="6477000" cy="3286125"/>
                <wp:effectExtent l="0" t="0" r="0" b="0"/>
                <wp:wrapNone/>
                <wp:docPr id="4" name="Text Box 4"/>
                <wp:cNvGraphicFramePr/>
                <a:graphic xmlns:a="http://schemas.openxmlformats.org/drawingml/2006/main">
                  <a:graphicData uri="http://schemas.microsoft.com/office/word/2010/wordprocessingShape">
                    <wps:wsp>
                      <wps:cNvSpPr txBox="1"/>
                      <wps:spPr>
                        <a:xfrm>
                          <a:off x="0" y="0"/>
                          <a:ext cx="6477000" cy="3286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85D87" w:rsidRPr="003A63FA" w:rsidRDefault="00685D87" w:rsidP="003A63FA">
                            <w:pPr>
                              <w:jc w:val="center"/>
                              <w:rPr>
                                <w:color w:val="FFFFFF" w:themeColor="background1"/>
                                <w:sz w:val="2"/>
                              </w:rPr>
                            </w:pPr>
                          </w:p>
                          <w:p w:rsidR="00685D87" w:rsidRDefault="00685D87" w:rsidP="003A63FA">
                            <w:pPr>
                              <w:jc w:val="center"/>
                              <w:rPr>
                                <w:color w:val="FFFFFF" w:themeColor="background1"/>
                              </w:rPr>
                            </w:pPr>
                            <w:r w:rsidRPr="003A63FA">
                              <w:rPr>
                                <w:color w:val="FFFFFF" w:themeColor="background1"/>
                              </w:rPr>
                              <w:t>We</w:t>
                            </w:r>
                          </w:p>
                          <w:p w:rsidR="00685D87" w:rsidRDefault="00685D87" w:rsidP="003A63FA">
                            <w:pPr>
                              <w:jc w:val="center"/>
                              <w:rPr>
                                <w:color w:val="FFFFFF" w:themeColor="background1"/>
                              </w:rPr>
                            </w:pPr>
                          </w:p>
                          <w:p w:rsidR="00685D87" w:rsidRDefault="00685D87" w:rsidP="003A63FA">
                            <w:pPr>
                              <w:jc w:val="center"/>
                              <w:rPr>
                                <w:color w:val="FFFFFF" w:themeColor="background1"/>
                              </w:rPr>
                            </w:pPr>
                            <w:r w:rsidRPr="003A63FA">
                              <w:rPr>
                                <w:color w:val="FFFFFF" w:themeColor="background1"/>
                              </w:rPr>
                              <w:t xml:space="preserve"> </w:t>
                            </w:r>
                          </w:p>
                          <w:p w:rsidR="00685D87" w:rsidRDefault="00685D87" w:rsidP="003A63FA">
                            <w:pPr>
                              <w:jc w:val="center"/>
                              <w:rPr>
                                <w:color w:val="FFFFFF" w:themeColor="background1"/>
                              </w:rPr>
                            </w:pPr>
                          </w:p>
                          <w:p w:rsidR="00685D87" w:rsidRPr="00C7297D" w:rsidRDefault="00B62E22" w:rsidP="00C7297D">
                            <w:pPr>
                              <w:jc w:val="center"/>
                            </w:pPr>
                            <w:hyperlink r:id="rId57" w:history="1">
                              <w:r w:rsidR="00685D87" w:rsidRPr="00C7297D">
                                <w:rPr>
                                  <w:rStyle w:val="Hyperlink"/>
                                </w:rPr>
                                <w:t>TRFT Library &amp; Knowledge Service</w:t>
                              </w:r>
                            </w:hyperlink>
                            <w:r w:rsidR="00685D87" w:rsidRPr="00C7297D">
                              <w:t xml:space="preserve"> aim to bring together the latest guidelines, research and news on Covid-19</w:t>
                            </w:r>
                            <w:r w:rsidR="00685D87">
                              <w:t xml:space="preserve"> through our </w:t>
                            </w:r>
                            <w:hyperlink r:id="rId58" w:history="1">
                              <w:r w:rsidR="00685D87" w:rsidRPr="00C7297D">
                                <w:rPr>
                                  <w:rStyle w:val="Hyperlink"/>
                                </w:rPr>
                                <w:t>Covid-19 portal</w:t>
                              </w:r>
                            </w:hyperlink>
                            <w:r w:rsidR="00685D87" w:rsidRPr="00C7297D">
                              <w:t>. For daily updates on Covid-19 visit our '</w:t>
                            </w:r>
                            <w:hyperlink r:id="rId59" w:tgtFrame="_blank" w:history="1">
                              <w:r w:rsidR="00685D87" w:rsidRPr="00C7297D">
                                <w:rPr>
                                  <w:rStyle w:val="Hyperlink"/>
                                </w:rPr>
                                <w:t>Latest Health</w:t>
                              </w:r>
                            </w:hyperlink>
                            <w:r w:rsidR="00685D87" w:rsidRPr="00C7297D">
                              <w:t xml:space="preserve">' newsfeed, or use the hashtag </w:t>
                            </w:r>
                            <w:hyperlink r:id="rId60" w:history="1">
                              <w:r w:rsidR="00685D87" w:rsidRPr="00C7297D">
                                <w:rPr>
                                  <w:rStyle w:val="Hyperlink"/>
                                </w:rPr>
                                <w:t>#covid19rftlks</w:t>
                              </w:r>
                            </w:hyperlink>
                            <w:r w:rsidR="00685D87" w:rsidRPr="00C7297D">
                              <w:rPr>
                                <w:u w:val="single"/>
                              </w:rPr>
                              <w:t xml:space="preserve"> </w:t>
                            </w:r>
                            <w:r w:rsidR="00685D87" w:rsidRPr="00C7297D">
                              <w:t>to see our latest tweets on Covid-19 research, guidelines and news.</w:t>
                            </w:r>
                          </w:p>
                          <w:p w:rsidR="00685D87" w:rsidRDefault="00685D87" w:rsidP="003A63FA">
                            <w:pPr>
                              <w:jc w:val="center"/>
                            </w:pPr>
                            <w:r>
                              <w:t>We also p</w:t>
                            </w:r>
                            <w:r w:rsidRPr="008A42F4">
                              <w:t xml:space="preserve">roduce a range of subject-specific news feeds to ensure our clinical and professional teams stay </w:t>
                            </w:r>
                            <w:r>
                              <w:t xml:space="preserve">up to date with </w:t>
                            </w:r>
                            <w:r w:rsidRPr="008A42F4">
                              <w:t xml:space="preserve">developments in their work areas. Please visit our </w:t>
                            </w:r>
                            <w:hyperlink r:id="rId61" w:history="1">
                              <w:r w:rsidRPr="008A42F4">
                                <w:rPr>
                                  <w:rStyle w:val="Hyperlink"/>
                                  <w:color w:val="339966"/>
                                </w:rPr>
                                <w:t>website</w:t>
                              </w:r>
                            </w:hyperlink>
                            <w:r>
                              <w:rPr>
                                <w:rStyle w:val="Hyperlink"/>
                                <w:color w:val="339966"/>
                              </w:rPr>
                              <w:t xml:space="preserve"> </w:t>
                            </w:r>
                            <w:r w:rsidRPr="008A42F4">
                              <w:t xml:space="preserve"> for more information </w:t>
                            </w:r>
                          </w:p>
                          <w:p w:rsidR="00685D87" w:rsidRDefault="00B62E22" w:rsidP="003A63FA">
                            <w:pPr>
                              <w:jc w:val="center"/>
                              <w:rPr>
                                <w:color w:val="339966"/>
                              </w:rPr>
                            </w:pPr>
                            <w:hyperlink r:id="rId62" w:history="1">
                              <w:r w:rsidR="00685D87" w:rsidRPr="00D90851">
                                <w:rPr>
                                  <w:rStyle w:val="Hyperlink"/>
                                </w:rPr>
                                <w:t>https://www.trftlibraryknowledge.com/health-newsfeeds.html</w:t>
                              </w:r>
                            </w:hyperlink>
                          </w:p>
                          <w:p w:rsidR="00685D87" w:rsidRPr="008A42F4" w:rsidRDefault="00685D87" w:rsidP="003A63FA">
                            <w:pPr>
                              <w:jc w:val="center"/>
                              <w:rPr>
                                <w:color w:val="33996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5C6C86" id="Text Box 4" o:spid="_x0000_s1029" type="#_x0000_t202" style="position:absolute;margin-left:-42pt;margin-top:8.45pt;width:510pt;height:25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" filled="f" stroked="f" strokeweight=".5pt">
                <v:textbox>
                  <w:txbxContent>
                    <w:p w:rsidR="00685D87" w:rsidRPr="003A63FA" w:rsidRDefault="00685D87" w:rsidP="003A63FA">
                      <w:pPr>
                        <w:jc w:val="center"/>
                        <w:rPr>
                          <w:color w:val="FFFFFF" w:themeColor="background1"/>
                          <w:sz w:val="2"/>
                        </w:rPr>
                      </w:pPr>
                    </w:p>
                    <w:p w:rsidR="00685D87" w:rsidRDefault="00685D87" w:rsidP="003A63FA">
                      <w:pPr>
                        <w:jc w:val="center"/>
                        <w:rPr>
                          <w:color w:val="FFFFFF" w:themeColor="background1"/>
                        </w:rPr>
                      </w:pPr>
                      <w:r w:rsidRPr="003A63FA">
                        <w:rPr>
                          <w:color w:val="FFFFFF" w:themeColor="background1"/>
                        </w:rPr>
                        <w:t>We</w:t>
                      </w:r>
                    </w:p>
                    <w:p w:rsidR="00685D87" w:rsidRDefault="00685D87" w:rsidP="003A63FA">
                      <w:pPr>
                        <w:jc w:val="center"/>
                        <w:rPr>
                          <w:color w:val="FFFFFF" w:themeColor="background1"/>
                        </w:rPr>
                      </w:pPr>
                    </w:p>
                    <w:p w:rsidR="00685D87" w:rsidRDefault="00685D87" w:rsidP="003A63FA">
                      <w:pPr>
                        <w:jc w:val="center"/>
                        <w:rPr>
                          <w:color w:val="FFFFFF" w:themeColor="background1"/>
                        </w:rPr>
                      </w:pPr>
                      <w:r w:rsidRPr="003A63FA">
                        <w:rPr>
                          <w:color w:val="FFFFFF" w:themeColor="background1"/>
                        </w:rPr>
                        <w:t xml:space="preserve"> </w:t>
                      </w:r>
                    </w:p>
                    <w:p w:rsidR="00685D87" w:rsidRDefault="00685D87" w:rsidP="003A63FA">
                      <w:pPr>
                        <w:jc w:val="center"/>
                        <w:rPr>
                          <w:color w:val="FFFFFF" w:themeColor="background1"/>
                        </w:rPr>
                      </w:pPr>
                    </w:p>
                    <w:p w:rsidR="00685D87" w:rsidRPr="00C7297D" w:rsidRDefault="00B62E22" w:rsidP="00C7297D">
                      <w:pPr>
                        <w:jc w:val="center"/>
                      </w:pPr>
                      <w:hyperlink r:id="rId63" w:history="1">
                        <w:r w:rsidR="00685D87" w:rsidRPr="00C7297D">
                          <w:rPr>
                            <w:rStyle w:val="Hyperlink"/>
                          </w:rPr>
                          <w:t>TRFT Library &amp; Knowledge Service</w:t>
                        </w:r>
                      </w:hyperlink>
                      <w:r w:rsidR="00685D87" w:rsidRPr="00C7297D">
                        <w:t xml:space="preserve"> aim to bring together the latest guidelines, research and news on Covid-19</w:t>
                      </w:r>
                      <w:r w:rsidR="00685D87">
                        <w:t xml:space="preserve"> through our </w:t>
                      </w:r>
                      <w:hyperlink r:id="rId64" w:history="1">
                        <w:r w:rsidR="00685D87" w:rsidRPr="00C7297D">
                          <w:rPr>
                            <w:rStyle w:val="Hyperlink"/>
                          </w:rPr>
                          <w:t>Covid-19 portal</w:t>
                        </w:r>
                      </w:hyperlink>
                      <w:r w:rsidR="00685D87" w:rsidRPr="00C7297D">
                        <w:t>. For daily updates on Covid-19 visit our '</w:t>
                      </w:r>
                      <w:hyperlink r:id="rId65" w:tgtFrame="_blank" w:history="1">
                        <w:r w:rsidR="00685D87" w:rsidRPr="00C7297D">
                          <w:rPr>
                            <w:rStyle w:val="Hyperlink"/>
                          </w:rPr>
                          <w:t>Latest Health</w:t>
                        </w:r>
                      </w:hyperlink>
                      <w:r w:rsidR="00685D87" w:rsidRPr="00C7297D">
                        <w:t xml:space="preserve">' newsfeed, or use the hashtag </w:t>
                      </w:r>
                      <w:hyperlink r:id="rId66" w:history="1">
                        <w:r w:rsidR="00685D87" w:rsidRPr="00C7297D">
                          <w:rPr>
                            <w:rStyle w:val="Hyperlink"/>
                          </w:rPr>
                          <w:t>#covid19rftlks</w:t>
                        </w:r>
                      </w:hyperlink>
                      <w:r w:rsidR="00685D87" w:rsidRPr="00C7297D">
                        <w:rPr>
                          <w:u w:val="single"/>
                        </w:rPr>
                        <w:t xml:space="preserve"> </w:t>
                      </w:r>
                      <w:r w:rsidR="00685D87" w:rsidRPr="00C7297D">
                        <w:t>to see our latest tweets on Covid-19 research, guidelines and news.</w:t>
                      </w:r>
                    </w:p>
                    <w:p w:rsidR="00685D87" w:rsidRDefault="00685D87" w:rsidP="003A63FA">
                      <w:pPr>
                        <w:jc w:val="center"/>
                      </w:pPr>
                      <w:r>
                        <w:t>We also p</w:t>
                      </w:r>
                      <w:r w:rsidRPr="008A42F4">
                        <w:t xml:space="preserve">roduce a range of subject-specific news feeds to ensure our clinical and professional teams stay </w:t>
                      </w:r>
                      <w:r>
                        <w:t xml:space="preserve">up to date with </w:t>
                      </w:r>
                      <w:r w:rsidRPr="008A42F4">
                        <w:t xml:space="preserve">developments in their work areas. Please visit our </w:t>
                      </w:r>
                      <w:hyperlink r:id="rId67" w:history="1">
                        <w:r w:rsidRPr="008A42F4">
                          <w:rPr>
                            <w:rStyle w:val="Hyperlink"/>
                            <w:color w:val="339966"/>
                          </w:rPr>
                          <w:t>website</w:t>
                        </w:r>
                      </w:hyperlink>
                      <w:r>
                        <w:rPr>
                          <w:rStyle w:val="Hyperlink"/>
                          <w:color w:val="339966"/>
                        </w:rPr>
                        <w:t xml:space="preserve"> </w:t>
                      </w:r>
                      <w:r w:rsidRPr="008A42F4">
                        <w:t xml:space="preserve"> for more information </w:t>
                      </w:r>
                    </w:p>
                    <w:p w:rsidR="00685D87" w:rsidRDefault="00B62E22" w:rsidP="003A63FA">
                      <w:pPr>
                        <w:jc w:val="center"/>
                        <w:rPr>
                          <w:color w:val="339966"/>
                        </w:rPr>
                      </w:pPr>
                      <w:hyperlink r:id="rId68" w:history="1">
                        <w:r w:rsidR="00685D87" w:rsidRPr="00D90851">
                          <w:rPr>
                            <w:rStyle w:val="Hyperlink"/>
                          </w:rPr>
                          <w:t>https://www.trftlibraryknowledge.com/health-newsfeeds.html</w:t>
                        </w:r>
                      </w:hyperlink>
                    </w:p>
                    <w:p w:rsidR="00685D87" w:rsidRPr="008A42F4" w:rsidRDefault="00685D87" w:rsidP="003A63FA">
                      <w:pPr>
                        <w:jc w:val="center"/>
                        <w:rPr>
                          <w:color w:val="339966"/>
                        </w:rPr>
                      </w:pPr>
                    </w:p>
                  </w:txbxContent>
                </v:textbox>
              </v:shape>
            </w:pict>
          </mc:Fallback>
        </mc:AlternateContent>
      </w:r>
    </w:p>
    <w:sectPr w:rsidR="00930E75" w:rsidSect="003A63FA">
      <w:headerReference w:type="default" r:id="rId69"/>
      <w:footerReference w:type="default" r:id="rId70"/>
      <w:pgSz w:w="11906" w:h="16838"/>
      <w:pgMar w:top="1702" w:right="1440" w:bottom="184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2E22" w:rsidRDefault="00B62E22" w:rsidP="00F06475">
      <w:pPr>
        <w:spacing w:after="0" w:line="240" w:lineRule="auto"/>
      </w:pPr>
      <w:r>
        <w:separator/>
      </w:r>
    </w:p>
  </w:endnote>
  <w:endnote w:type="continuationSeparator" w:id="0">
    <w:p w:rsidR="00B62E22" w:rsidRDefault="00B62E22" w:rsidP="00F06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otum">
    <w:altName w:val="Malgun Gothic Semilight"/>
    <w:panose1 w:val="020B0600000101010101"/>
    <w:charset w:val="81"/>
    <w:family w:val="swiss"/>
    <w:pitch w:val="variable"/>
    <w:sig w:usb0="00000000"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7382628"/>
      <w:docPartObj>
        <w:docPartGallery w:val="Page Numbers (Bottom of Page)"/>
        <w:docPartUnique/>
      </w:docPartObj>
    </w:sdtPr>
    <w:sdtEndPr>
      <w:rPr>
        <w:noProof/>
      </w:rPr>
    </w:sdtEndPr>
    <w:sdtContent>
      <w:p w:rsidR="00685D87" w:rsidRDefault="00685D87">
        <w:pPr>
          <w:pStyle w:val="Footer"/>
          <w:jc w:val="right"/>
        </w:pPr>
        <w:r>
          <w:fldChar w:fldCharType="begin"/>
        </w:r>
        <w:r>
          <w:instrText xml:space="preserve"> PAGE   \* MERGEFORMAT </w:instrText>
        </w:r>
        <w:r>
          <w:fldChar w:fldCharType="separate"/>
        </w:r>
        <w:r w:rsidR="0061137C">
          <w:rPr>
            <w:noProof/>
          </w:rPr>
          <w:t>20</w:t>
        </w:r>
        <w:r>
          <w:rPr>
            <w:noProof/>
          </w:rPr>
          <w:fldChar w:fldCharType="end"/>
        </w:r>
      </w:p>
    </w:sdtContent>
  </w:sdt>
  <w:p w:rsidR="00685D87" w:rsidRDefault="00685D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2E22" w:rsidRDefault="00B62E22" w:rsidP="00F06475">
      <w:pPr>
        <w:spacing w:after="0" w:line="240" w:lineRule="auto"/>
      </w:pPr>
      <w:r>
        <w:separator/>
      </w:r>
    </w:p>
  </w:footnote>
  <w:footnote w:type="continuationSeparator" w:id="0">
    <w:p w:rsidR="00B62E22" w:rsidRDefault="00B62E22" w:rsidP="00F064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5D87" w:rsidRDefault="00685D87" w:rsidP="00F06475">
    <w:pPr>
      <w:pStyle w:val="Header"/>
      <w:jc w:val="right"/>
      <w:rPr>
        <w:color w:val="57201F"/>
      </w:rPr>
    </w:pPr>
    <w:r>
      <w:rPr>
        <w:b/>
        <w:noProof/>
        <w:color w:val="57201F"/>
        <w:sz w:val="29"/>
        <w:szCs w:val="29"/>
        <w:lang w:eastAsia="en-GB"/>
      </w:rPr>
      <w:drawing>
        <wp:anchor distT="0" distB="0" distL="114300" distR="114300" simplePos="0" relativeHeight="251671552" behindDoc="0" locked="0" layoutInCell="1" allowOverlap="1" wp14:anchorId="05C867D8" wp14:editId="74447825">
          <wp:simplePos x="0" y="0"/>
          <wp:positionH relativeFrom="column">
            <wp:posOffset>4589252</wp:posOffset>
          </wp:positionH>
          <wp:positionV relativeFrom="paragraph">
            <wp:posOffset>-346062</wp:posOffset>
          </wp:positionV>
          <wp:extent cx="1983139" cy="972718"/>
          <wp:effectExtent l="0" t="0" r="0" b="0"/>
          <wp:wrapNone/>
          <wp:docPr id="9" name="Picture 9" descr="I:\Joint Services\Branding\Branding Guidelines &amp; Toolkit\Logo\Logo text all to 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Joint Services\Branding\Branding Guidelines &amp; Toolkit\Logo\Logo text all to lef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82269" cy="97229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85D87" w:rsidRPr="00244F90" w:rsidRDefault="00685D87" w:rsidP="005A6F07">
    <w:pPr>
      <w:pStyle w:val="Header"/>
      <w:tabs>
        <w:tab w:val="clear" w:pos="9026"/>
        <w:tab w:val="right" w:pos="9923"/>
      </w:tabs>
      <w:jc w:val="right"/>
      <w:rPr>
        <w:b/>
        <w:color w:val="943634"/>
        <w:sz w:val="29"/>
        <w:szCs w:val="29"/>
      </w:rPr>
    </w:pPr>
    <w:r>
      <w:rPr>
        <w:b/>
        <w:color w:val="57201F"/>
        <w:sz w:val="29"/>
        <w:szCs w:val="29"/>
      </w:rPr>
      <w:t xml:space="preserve">       </w:t>
    </w:r>
    <w:r>
      <w:rPr>
        <w:b/>
        <w:color w:val="57201F"/>
        <w:sz w:val="29"/>
        <w:szCs w:val="29"/>
      </w:rPr>
      <w:tab/>
      <w:t xml:space="preserve">  </w:t>
    </w:r>
    <w:r>
      <w:rPr>
        <w:b/>
        <w:color w:val="57201F"/>
        <w:sz w:val="29"/>
        <w:szCs w:val="29"/>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300A0"/>
    <w:multiLevelType w:val="multilevel"/>
    <w:tmpl w:val="3F866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7156AD"/>
    <w:multiLevelType w:val="multilevel"/>
    <w:tmpl w:val="0AA01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7C0132"/>
    <w:multiLevelType w:val="multilevel"/>
    <w:tmpl w:val="254C2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DA53E5"/>
    <w:multiLevelType w:val="multilevel"/>
    <w:tmpl w:val="59C2C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4575FE"/>
    <w:multiLevelType w:val="multilevel"/>
    <w:tmpl w:val="9FCA8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9A46C6"/>
    <w:multiLevelType w:val="multilevel"/>
    <w:tmpl w:val="C20CD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C05084B"/>
    <w:multiLevelType w:val="multilevel"/>
    <w:tmpl w:val="8B5A8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2BE58C3"/>
    <w:multiLevelType w:val="multilevel"/>
    <w:tmpl w:val="CD5AB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02A3EE2"/>
    <w:multiLevelType w:val="hybridMultilevel"/>
    <w:tmpl w:val="36EAF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4A073C7"/>
    <w:multiLevelType w:val="multilevel"/>
    <w:tmpl w:val="DBB65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D2B2D71"/>
    <w:multiLevelType w:val="multilevel"/>
    <w:tmpl w:val="0F160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D9E5AC3"/>
    <w:multiLevelType w:val="multilevel"/>
    <w:tmpl w:val="6CB00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341082B"/>
    <w:multiLevelType w:val="multilevel"/>
    <w:tmpl w:val="1C3EC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3707DE0"/>
    <w:multiLevelType w:val="multilevel"/>
    <w:tmpl w:val="86529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7C6593C"/>
    <w:multiLevelType w:val="multilevel"/>
    <w:tmpl w:val="2CF03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9ED7B19"/>
    <w:multiLevelType w:val="multilevel"/>
    <w:tmpl w:val="69A2C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F554E38"/>
    <w:multiLevelType w:val="multilevel"/>
    <w:tmpl w:val="26529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1437213"/>
    <w:multiLevelType w:val="multilevel"/>
    <w:tmpl w:val="27AE8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51C0277"/>
    <w:multiLevelType w:val="multilevel"/>
    <w:tmpl w:val="69F20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7"/>
  </w:num>
  <w:num w:numId="3">
    <w:abstractNumId w:val="18"/>
  </w:num>
  <w:num w:numId="4">
    <w:abstractNumId w:val="14"/>
  </w:num>
  <w:num w:numId="5">
    <w:abstractNumId w:val="11"/>
  </w:num>
  <w:num w:numId="6">
    <w:abstractNumId w:val="13"/>
  </w:num>
  <w:num w:numId="7">
    <w:abstractNumId w:val="1"/>
  </w:num>
  <w:num w:numId="8">
    <w:abstractNumId w:val="16"/>
  </w:num>
  <w:num w:numId="9">
    <w:abstractNumId w:val="2"/>
  </w:num>
  <w:num w:numId="10">
    <w:abstractNumId w:val="6"/>
  </w:num>
  <w:num w:numId="11">
    <w:abstractNumId w:val="10"/>
  </w:num>
  <w:num w:numId="12">
    <w:abstractNumId w:val="5"/>
  </w:num>
  <w:num w:numId="13">
    <w:abstractNumId w:val="9"/>
  </w:num>
  <w:num w:numId="14">
    <w:abstractNumId w:val="4"/>
  </w:num>
  <w:num w:numId="15">
    <w:abstractNumId w:val="7"/>
  </w:num>
  <w:num w:numId="16">
    <w:abstractNumId w:val="3"/>
  </w:num>
  <w:num w:numId="17">
    <w:abstractNumId w:val="12"/>
  </w:num>
  <w:num w:numId="18">
    <w:abstractNumId w:val="8"/>
  </w:num>
  <w:num w:numId="19">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31F"/>
    <w:rsid w:val="000111FB"/>
    <w:rsid w:val="00014241"/>
    <w:rsid w:val="00016657"/>
    <w:rsid w:val="00016DB5"/>
    <w:rsid w:val="0002735D"/>
    <w:rsid w:val="000304F0"/>
    <w:rsid w:val="0003070B"/>
    <w:rsid w:val="00033BCE"/>
    <w:rsid w:val="00034907"/>
    <w:rsid w:val="00037C00"/>
    <w:rsid w:val="00041E0B"/>
    <w:rsid w:val="00042493"/>
    <w:rsid w:val="00046298"/>
    <w:rsid w:val="000510BA"/>
    <w:rsid w:val="000517A9"/>
    <w:rsid w:val="00051BFC"/>
    <w:rsid w:val="00052367"/>
    <w:rsid w:val="00065A47"/>
    <w:rsid w:val="00070262"/>
    <w:rsid w:val="000749B7"/>
    <w:rsid w:val="00075E06"/>
    <w:rsid w:val="00077250"/>
    <w:rsid w:val="00081B0B"/>
    <w:rsid w:val="00085E68"/>
    <w:rsid w:val="000A2968"/>
    <w:rsid w:val="000A5857"/>
    <w:rsid w:val="000B145B"/>
    <w:rsid w:val="000C0D16"/>
    <w:rsid w:val="000C3101"/>
    <w:rsid w:val="000D4062"/>
    <w:rsid w:val="000F21A6"/>
    <w:rsid w:val="000F47F2"/>
    <w:rsid w:val="000F6DFC"/>
    <w:rsid w:val="0010329F"/>
    <w:rsid w:val="001134DA"/>
    <w:rsid w:val="00116A60"/>
    <w:rsid w:val="0013781F"/>
    <w:rsid w:val="00147534"/>
    <w:rsid w:val="00153F4C"/>
    <w:rsid w:val="00154AAD"/>
    <w:rsid w:val="00174B7D"/>
    <w:rsid w:val="001838F3"/>
    <w:rsid w:val="00191A5C"/>
    <w:rsid w:val="001A44E9"/>
    <w:rsid w:val="001A72B7"/>
    <w:rsid w:val="001B3852"/>
    <w:rsid w:val="001C2EBC"/>
    <w:rsid w:val="001C5329"/>
    <w:rsid w:val="001C5EDB"/>
    <w:rsid w:val="001D22B9"/>
    <w:rsid w:val="001D5EB9"/>
    <w:rsid w:val="001D7A12"/>
    <w:rsid w:val="001E1F53"/>
    <w:rsid w:val="001E7349"/>
    <w:rsid w:val="001F4948"/>
    <w:rsid w:val="001F79B2"/>
    <w:rsid w:val="0024067F"/>
    <w:rsid w:val="00244F90"/>
    <w:rsid w:val="00250BB8"/>
    <w:rsid w:val="0025346E"/>
    <w:rsid w:val="00265644"/>
    <w:rsid w:val="002765D2"/>
    <w:rsid w:val="002904BE"/>
    <w:rsid w:val="00295936"/>
    <w:rsid w:val="00296882"/>
    <w:rsid w:val="002A4F0F"/>
    <w:rsid w:val="002B21DC"/>
    <w:rsid w:val="002B23D9"/>
    <w:rsid w:val="002C206E"/>
    <w:rsid w:val="002C3154"/>
    <w:rsid w:val="002C4727"/>
    <w:rsid w:val="002E5198"/>
    <w:rsid w:val="002F29D4"/>
    <w:rsid w:val="002F5887"/>
    <w:rsid w:val="002F7CA7"/>
    <w:rsid w:val="003016A7"/>
    <w:rsid w:val="003127D8"/>
    <w:rsid w:val="00312E5E"/>
    <w:rsid w:val="00320740"/>
    <w:rsid w:val="00322F38"/>
    <w:rsid w:val="00330444"/>
    <w:rsid w:val="00346DA2"/>
    <w:rsid w:val="00360A45"/>
    <w:rsid w:val="00367796"/>
    <w:rsid w:val="00371AC6"/>
    <w:rsid w:val="0037350E"/>
    <w:rsid w:val="00373799"/>
    <w:rsid w:val="00374690"/>
    <w:rsid w:val="00384555"/>
    <w:rsid w:val="003902AC"/>
    <w:rsid w:val="003A3F8E"/>
    <w:rsid w:val="003A63FA"/>
    <w:rsid w:val="003B07B1"/>
    <w:rsid w:val="003B73DD"/>
    <w:rsid w:val="003B7C67"/>
    <w:rsid w:val="003C431B"/>
    <w:rsid w:val="003C5A6D"/>
    <w:rsid w:val="003C6AF4"/>
    <w:rsid w:val="003C77B8"/>
    <w:rsid w:val="003D17FA"/>
    <w:rsid w:val="003D3D76"/>
    <w:rsid w:val="003D435D"/>
    <w:rsid w:val="003D66B3"/>
    <w:rsid w:val="003D7691"/>
    <w:rsid w:val="003E6C8F"/>
    <w:rsid w:val="003F4131"/>
    <w:rsid w:val="003F65F0"/>
    <w:rsid w:val="003F770E"/>
    <w:rsid w:val="0040264D"/>
    <w:rsid w:val="004040E0"/>
    <w:rsid w:val="00405F73"/>
    <w:rsid w:val="0041032D"/>
    <w:rsid w:val="00413BBC"/>
    <w:rsid w:val="004174D9"/>
    <w:rsid w:val="00420EC3"/>
    <w:rsid w:val="0042378D"/>
    <w:rsid w:val="0042582F"/>
    <w:rsid w:val="00430B50"/>
    <w:rsid w:val="00435979"/>
    <w:rsid w:val="00441D07"/>
    <w:rsid w:val="00445BC5"/>
    <w:rsid w:val="00455ACC"/>
    <w:rsid w:val="00460128"/>
    <w:rsid w:val="00465205"/>
    <w:rsid w:val="00465751"/>
    <w:rsid w:val="00474665"/>
    <w:rsid w:val="00474E61"/>
    <w:rsid w:val="00490236"/>
    <w:rsid w:val="004913E3"/>
    <w:rsid w:val="00491EA6"/>
    <w:rsid w:val="00492E7A"/>
    <w:rsid w:val="004978FE"/>
    <w:rsid w:val="00497B10"/>
    <w:rsid w:val="004A0D16"/>
    <w:rsid w:val="004B5354"/>
    <w:rsid w:val="004C0610"/>
    <w:rsid w:val="004F54C5"/>
    <w:rsid w:val="005048C8"/>
    <w:rsid w:val="005134CC"/>
    <w:rsid w:val="00514A07"/>
    <w:rsid w:val="005211A0"/>
    <w:rsid w:val="0052565F"/>
    <w:rsid w:val="00527C87"/>
    <w:rsid w:val="00532079"/>
    <w:rsid w:val="00563DCF"/>
    <w:rsid w:val="00565844"/>
    <w:rsid w:val="00567E1C"/>
    <w:rsid w:val="00567F03"/>
    <w:rsid w:val="00576758"/>
    <w:rsid w:val="00581729"/>
    <w:rsid w:val="00592C31"/>
    <w:rsid w:val="005A1100"/>
    <w:rsid w:val="005A4DB0"/>
    <w:rsid w:val="005A4E8F"/>
    <w:rsid w:val="005A6F07"/>
    <w:rsid w:val="005C56A0"/>
    <w:rsid w:val="005C59FD"/>
    <w:rsid w:val="005D02F9"/>
    <w:rsid w:val="005E077A"/>
    <w:rsid w:val="005F1664"/>
    <w:rsid w:val="00600B36"/>
    <w:rsid w:val="00606DC5"/>
    <w:rsid w:val="0061137C"/>
    <w:rsid w:val="00611A1C"/>
    <w:rsid w:val="00627D72"/>
    <w:rsid w:val="00630A70"/>
    <w:rsid w:val="00644173"/>
    <w:rsid w:val="00677EA0"/>
    <w:rsid w:val="006857CB"/>
    <w:rsid w:val="00685D87"/>
    <w:rsid w:val="00696896"/>
    <w:rsid w:val="006A1B1D"/>
    <w:rsid w:val="006B785A"/>
    <w:rsid w:val="006B7D0B"/>
    <w:rsid w:val="006E07E3"/>
    <w:rsid w:val="006F5EA0"/>
    <w:rsid w:val="006F7BC1"/>
    <w:rsid w:val="00700BA3"/>
    <w:rsid w:val="00700CF2"/>
    <w:rsid w:val="00725E20"/>
    <w:rsid w:val="00731145"/>
    <w:rsid w:val="007336FB"/>
    <w:rsid w:val="00740699"/>
    <w:rsid w:val="0074245C"/>
    <w:rsid w:val="00742549"/>
    <w:rsid w:val="007564F4"/>
    <w:rsid w:val="00775293"/>
    <w:rsid w:val="007807CE"/>
    <w:rsid w:val="00781494"/>
    <w:rsid w:val="00781D6C"/>
    <w:rsid w:val="007868FE"/>
    <w:rsid w:val="007A0AFE"/>
    <w:rsid w:val="007A1F0C"/>
    <w:rsid w:val="007A6D82"/>
    <w:rsid w:val="007C5362"/>
    <w:rsid w:val="007D0044"/>
    <w:rsid w:val="007E2026"/>
    <w:rsid w:val="007E736F"/>
    <w:rsid w:val="007F1243"/>
    <w:rsid w:val="007F331F"/>
    <w:rsid w:val="007F70B9"/>
    <w:rsid w:val="008036FC"/>
    <w:rsid w:val="0080755F"/>
    <w:rsid w:val="00811472"/>
    <w:rsid w:val="00824783"/>
    <w:rsid w:val="00824863"/>
    <w:rsid w:val="00827678"/>
    <w:rsid w:val="00836C56"/>
    <w:rsid w:val="008429FE"/>
    <w:rsid w:val="008544CB"/>
    <w:rsid w:val="008563A9"/>
    <w:rsid w:val="00860C58"/>
    <w:rsid w:val="00862782"/>
    <w:rsid w:val="00874AB8"/>
    <w:rsid w:val="008779F1"/>
    <w:rsid w:val="00884015"/>
    <w:rsid w:val="00887B4B"/>
    <w:rsid w:val="008908D7"/>
    <w:rsid w:val="008914DD"/>
    <w:rsid w:val="008A42F4"/>
    <w:rsid w:val="008B4670"/>
    <w:rsid w:val="008D3782"/>
    <w:rsid w:val="008E6F90"/>
    <w:rsid w:val="00903083"/>
    <w:rsid w:val="00906A6D"/>
    <w:rsid w:val="009127D6"/>
    <w:rsid w:val="0092156B"/>
    <w:rsid w:val="009248EA"/>
    <w:rsid w:val="00930E75"/>
    <w:rsid w:val="00931917"/>
    <w:rsid w:val="00934DEA"/>
    <w:rsid w:val="00934EA1"/>
    <w:rsid w:val="00935ECE"/>
    <w:rsid w:val="00940CBE"/>
    <w:rsid w:val="009515E0"/>
    <w:rsid w:val="00954401"/>
    <w:rsid w:val="00956B26"/>
    <w:rsid w:val="00972672"/>
    <w:rsid w:val="00977BA7"/>
    <w:rsid w:val="00984D57"/>
    <w:rsid w:val="00984FB8"/>
    <w:rsid w:val="009952AE"/>
    <w:rsid w:val="009A6BE9"/>
    <w:rsid w:val="009B01A5"/>
    <w:rsid w:val="009B4182"/>
    <w:rsid w:val="009B41E1"/>
    <w:rsid w:val="009B5573"/>
    <w:rsid w:val="009C3768"/>
    <w:rsid w:val="009D1D3B"/>
    <w:rsid w:val="009E5482"/>
    <w:rsid w:val="009F0172"/>
    <w:rsid w:val="009F2C74"/>
    <w:rsid w:val="00A30349"/>
    <w:rsid w:val="00A35850"/>
    <w:rsid w:val="00A5031D"/>
    <w:rsid w:val="00A51153"/>
    <w:rsid w:val="00A53412"/>
    <w:rsid w:val="00A573B7"/>
    <w:rsid w:val="00A614BA"/>
    <w:rsid w:val="00A65422"/>
    <w:rsid w:val="00A7321B"/>
    <w:rsid w:val="00A75176"/>
    <w:rsid w:val="00A82F7D"/>
    <w:rsid w:val="00A865C3"/>
    <w:rsid w:val="00A930E2"/>
    <w:rsid w:val="00A96532"/>
    <w:rsid w:val="00A97480"/>
    <w:rsid w:val="00A97CB4"/>
    <w:rsid w:val="00AA4410"/>
    <w:rsid w:val="00AA589F"/>
    <w:rsid w:val="00AA7FC3"/>
    <w:rsid w:val="00AB3D3D"/>
    <w:rsid w:val="00AB4399"/>
    <w:rsid w:val="00AC7818"/>
    <w:rsid w:val="00AC79C9"/>
    <w:rsid w:val="00AF6897"/>
    <w:rsid w:val="00B001A0"/>
    <w:rsid w:val="00B001C3"/>
    <w:rsid w:val="00B0096D"/>
    <w:rsid w:val="00B01DD1"/>
    <w:rsid w:val="00B03383"/>
    <w:rsid w:val="00B034A0"/>
    <w:rsid w:val="00B137CF"/>
    <w:rsid w:val="00B1542C"/>
    <w:rsid w:val="00B2773A"/>
    <w:rsid w:val="00B36AFD"/>
    <w:rsid w:val="00B5385F"/>
    <w:rsid w:val="00B547CD"/>
    <w:rsid w:val="00B62E22"/>
    <w:rsid w:val="00B710D7"/>
    <w:rsid w:val="00B71BA2"/>
    <w:rsid w:val="00B71F08"/>
    <w:rsid w:val="00B738F7"/>
    <w:rsid w:val="00B73C50"/>
    <w:rsid w:val="00B74226"/>
    <w:rsid w:val="00B86F1B"/>
    <w:rsid w:val="00B90455"/>
    <w:rsid w:val="00B9520E"/>
    <w:rsid w:val="00BA1AA0"/>
    <w:rsid w:val="00BA4966"/>
    <w:rsid w:val="00BB62CC"/>
    <w:rsid w:val="00BD2986"/>
    <w:rsid w:val="00BE354B"/>
    <w:rsid w:val="00BE7BE3"/>
    <w:rsid w:val="00BF2AD4"/>
    <w:rsid w:val="00BF30BE"/>
    <w:rsid w:val="00C250C0"/>
    <w:rsid w:val="00C2529B"/>
    <w:rsid w:val="00C338F2"/>
    <w:rsid w:val="00C3787B"/>
    <w:rsid w:val="00C4515A"/>
    <w:rsid w:val="00C45423"/>
    <w:rsid w:val="00C470CD"/>
    <w:rsid w:val="00C541F9"/>
    <w:rsid w:val="00C570C4"/>
    <w:rsid w:val="00C7297D"/>
    <w:rsid w:val="00C739C0"/>
    <w:rsid w:val="00C73D78"/>
    <w:rsid w:val="00C8078C"/>
    <w:rsid w:val="00C86CF9"/>
    <w:rsid w:val="00C87C28"/>
    <w:rsid w:val="00C91654"/>
    <w:rsid w:val="00C96982"/>
    <w:rsid w:val="00CA2E8A"/>
    <w:rsid w:val="00CA78CA"/>
    <w:rsid w:val="00CC3BBA"/>
    <w:rsid w:val="00CD3471"/>
    <w:rsid w:val="00CE02E0"/>
    <w:rsid w:val="00CE08CF"/>
    <w:rsid w:val="00CE1D0C"/>
    <w:rsid w:val="00CE68A5"/>
    <w:rsid w:val="00CF7992"/>
    <w:rsid w:val="00D067BE"/>
    <w:rsid w:val="00D151A7"/>
    <w:rsid w:val="00D15911"/>
    <w:rsid w:val="00D214D6"/>
    <w:rsid w:val="00D306EA"/>
    <w:rsid w:val="00D3369F"/>
    <w:rsid w:val="00D52256"/>
    <w:rsid w:val="00D56D89"/>
    <w:rsid w:val="00D638FB"/>
    <w:rsid w:val="00D6477B"/>
    <w:rsid w:val="00D65F29"/>
    <w:rsid w:val="00D70CA7"/>
    <w:rsid w:val="00D822ED"/>
    <w:rsid w:val="00D838D4"/>
    <w:rsid w:val="00D84FD6"/>
    <w:rsid w:val="00D90AAB"/>
    <w:rsid w:val="00DA27A3"/>
    <w:rsid w:val="00DA2A77"/>
    <w:rsid w:val="00DA3607"/>
    <w:rsid w:val="00DA6BCE"/>
    <w:rsid w:val="00DC0C6D"/>
    <w:rsid w:val="00DC1AC6"/>
    <w:rsid w:val="00DE33B3"/>
    <w:rsid w:val="00DE4846"/>
    <w:rsid w:val="00DE7158"/>
    <w:rsid w:val="00DF38F1"/>
    <w:rsid w:val="00E0576B"/>
    <w:rsid w:val="00E12CC9"/>
    <w:rsid w:val="00E12F39"/>
    <w:rsid w:val="00E13113"/>
    <w:rsid w:val="00E16E5D"/>
    <w:rsid w:val="00E259E1"/>
    <w:rsid w:val="00E3524C"/>
    <w:rsid w:val="00E43CD2"/>
    <w:rsid w:val="00E4765C"/>
    <w:rsid w:val="00E53AFD"/>
    <w:rsid w:val="00E5674F"/>
    <w:rsid w:val="00E62C16"/>
    <w:rsid w:val="00E65F31"/>
    <w:rsid w:val="00E67A20"/>
    <w:rsid w:val="00E7640D"/>
    <w:rsid w:val="00E85AFD"/>
    <w:rsid w:val="00E87438"/>
    <w:rsid w:val="00E9159A"/>
    <w:rsid w:val="00E92995"/>
    <w:rsid w:val="00E938C5"/>
    <w:rsid w:val="00EB2DD9"/>
    <w:rsid w:val="00EB7EBD"/>
    <w:rsid w:val="00ED09B2"/>
    <w:rsid w:val="00ED4843"/>
    <w:rsid w:val="00EE4ED1"/>
    <w:rsid w:val="00F06475"/>
    <w:rsid w:val="00F1532F"/>
    <w:rsid w:val="00F26A88"/>
    <w:rsid w:val="00F34850"/>
    <w:rsid w:val="00F363D3"/>
    <w:rsid w:val="00F40EF6"/>
    <w:rsid w:val="00F455F4"/>
    <w:rsid w:val="00F534B4"/>
    <w:rsid w:val="00F61231"/>
    <w:rsid w:val="00F66829"/>
    <w:rsid w:val="00F74E67"/>
    <w:rsid w:val="00F75D44"/>
    <w:rsid w:val="00F775BF"/>
    <w:rsid w:val="00F81CC1"/>
    <w:rsid w:val="00F87FE6"/>
    <w:rsid w:val="00F923D4"/>
    <w:rsid w:val="00F97E75"/>
    <w:rsid w:val="00FA11EB"/>
    <w:rsid w:val="00FA1357"/>
    <w:rsid w:val="00FA2BE8"/>
    <w:rsid w:val="00FB7555"/>
    <w:rsid w:val="00FC1E79"/>
    <w:rsid w:val="00FC2554"/>
    <w:rsid w:val="00FD7F70"/>
    <w:rsid w:val="00FE30E1"/>
    <w:rsid w:val="00FF55E3"/>
    <w:rsid w:val="00FF57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2DAF21"/>
  <w15:docId w15:val="{350B385F-E03C-4231-8DCD-9FD5FE680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5709"/>
    <w:rPr>
      <w:color w:val="404040" w:themeColor="text1" w:themeTint="BF"/>
    </w:rPr>
  </w:style>
  <w:style w:type="paragraph" w:styleId="Heading1">
    <w:name w:val="heading 1"/>
    <w:basedOn w:val="Normal"/>
    <w:next w:val="Normal"/>
    <w:link w:val="Heading1Char"/>
    <w:uiPriority w:val="9"/>
    <w:qFormat/>
    <w:rsid w:val="007A6D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A6D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92E7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A589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033BCE"/>
    <w:pPr>
      <w:keepNext/>
      <w:keepLines/>
      <w:spacing w:before="40" w:after="0" w:line="259" w:lineRule="auto"/>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331F"/>
    <w:rPr>
      <w:color w:val="0000FF" w:themeColor="hyperlink"/>
      <w:u w:val="single"/>
    </w:rPr>
  </w:style>
  <w:style w:type="paragraph" w:styleId="BalloonText">
    <w:name w:val="Balloon Text"/>
    <w:basedOn w:val="Normal"/>
    <w:link w:val="BalloonTextChar"/>
    <w:uiPriority w:val="99"/>
    <w:semiHidden/>
    <w:unhideWhenUsed/>
    <w:rsid w:val="00CF79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7992"/>
    <w:rPr>
      <w:rFonts w:ascii="Tahoma" w:hAnsi="Tahoma" w:cs="Tahoma"/>
      <w:sz w:val="16"/>
      <w:szCs w:val="16"/>
    </w:rPr>
  </w:style>
  <w:style w:type="paragraph" w:styleId="Header">
    <w:name w:val="header"/>
    <w:basedOn w:val="Normal"/>
    <w:link w:val="HeaderChar"/>
    <w:uiPriority w:val="99"/>
    <w:unhideWhenUsed/>
    <w:rsid w:val="00F064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6475"/>
  </w:style>
  <w:style w:type="paragraph" w:styleId="Footer">
    <w:name w:val="footer"/>
    <w:basedOn w:val="Normal"/>
    <w:link w:val="FooterChar"/>
    <w:uiPriority w:val="99"/>
    <w:unhideWhenUsed/>
    <w:rsid w:val="00F064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6475"/>
  </w:style>
  <w:style w:type="paragraph" w:styleId="NoSpacing">
    <w:name w:val="No Spacing"/>
    <w:uiPriority w:val="1"/>
    <w:qFormat/>
    <w:rsid w:val="003A63FA"/>
    <w:pPr>
      <w:spacing w:after="0" w:line="240" w:lineRule="auto"/>
    </w:pPr>
    <w:rPr>
      <w:color w:val="404040" w:themeColor="text1" w:themeTint="BF"/>
    </w:rPr>
  </w:style>
  <w:style w:type="paragraph" w:styleId="ListParagraph">
    <w:name w:val="List Paragraph"/>
    <w:basedOn w:val="Normal"/>
    <w:uiPriority w:val="34"/>
    <w:qFormat/>
    <w:rsid w:val="001C5EDB"/>
    <w:pPr>
      <w:ind w:left="720"/>
      <w:contextualSpacing/>
    </w:pPr>
  </w:style>
  <w:style w:type="character" w:styleId="FollowedHyperlink">
    <w:name w:val="FollowedHyperlink"/>
    <w:basedOn w:val="DefaultParagraphFont"/>
    <w:uiPriority w:val="99"/>
    <w:semiHidden/>
    <w:unhideWhenUsed/>
    <w:rsid w:val="00ED4843"/>
    <w:rPr>
      <w:color w:val="800080" w:themeColor="followedHyperlink"/>
      <w:u w:val="single"/>
    </w:rPr>
  </w:style>
  <w:style w:type="paragraph" w:styleId="NormalWeb">
    <w:name w:val="Normal (Web)"/>
    <w:basedOn w:val="Normal"/>
    <w:uiPriority w:val="99"/>
    <w:unhideWhenUsed/>
    <w:rsid w:val="00567E1C"/>
    <w:rPr>
      <w:rFonts w:ascii="Times New Roman" w:hAnsi="Times New Roman" w:cs="Times New Roman"/>
      <w:sz w:val="24"/>
      <w:szCs w:val="24"/>
    </w:rPr>
  </w:style>
  <w:style w:type="character" w:customStyle="1" w:styleId="Heading1Char">
    <w:name w:val="Heading 1 Char"/>
    <w:basedOn w:val="DefaultParagraphFont"/>
    <w:link w:val="Heading1"/>
    <w:uiPriority w:val="9"/>
    <w:rsid w:val="007A6D8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A6D82"/>
    <w:rPr>
      <w:rFonts w:asciiTheme="majorHAnsi" w:eastAsiaTheme="majorEastAsia" w:hAnsiTheme="majorHAnsi" w:cstheme="majorBidi"/>
      <w:b/>
      <w:bCs/>
      <w:color w:val="4F81BD" w:themeColor="accent1"/>
      <w:sz w:val="26"/>
      <w:szCs w:val="26"/>
    </w:rPr>
  </w:style>
  <w:style w:type="character" w:styleId="IntenseReference">
    <w:name w:val="Intense Reference"/>
    <w:basedOn w:val="DefaultParagraphFont"/>
    <w:uiPriority w:val="32"/>
    <w:qFormat/>
    <w:rsid w:val="007A6D82"/>
    <w:rPr>
      <w:b/>
      <w:bCs/>
      <w:smallCaps/>
      <w:color w:val="C0504D" w:themeColor="accent2"/>
      <w:spacing w:val="5"/>
      <w:u w:val="single"/>
    </w:rPr>
  </w:style>
  <w:style w:type="character" w:customStyle="1" w:styleId="Heading3Char">
    <w:name w:val="Heading 3 Char"/>
    <w:basedOn w:val="DefaultParagraphFont"/>
    <w:link w:val="Heading3"/>
    <w:uiPriority w:val="9"/>
    <w:rsid w:val="00492E7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AA589F"/>
    <w:rPr>
      <w:rFonts w:asciiTheme="majorHAnsi" w:eastAsiaTheme="majorEastAsia" w:hAnsiTheme="majorHAnsi" w:cstheme="majorBidi"/>
      <w:b/>
      <w:bCs/>
      <w:i/>
      <w:iCs/>
      <w:color w:val="4F81BD" w:themeColor="accent1"/>
    </w:rPr>
  </w:style>
  <w:style w:type="character" w:styleId="BookTitle">
    <w:name w:val="Book Title"/>
    <w:basedOn w:val="DefaultParagraphFont"/>
    <w:uiPriority w:val="33"/>
    <w:qFormat/>
    <w:rsid w:val="00AA589F"/>
    <w:rPr>
      <w:b/>
      <w:bCs/>
      <w:smallCaps/>
      <w:spacing w:val="5"/>
    </w:rPr>
  </w:style>
  <w:style w:type="paragraph" w:styleId="IntenseQuote">
    <w:name w:val="Intense Quote"/>
    <w:basedOn w:val="Normal"/>
    <w:next w:val="Normal"/>
    <w:link w:val="IntenseQuoteChar"/>
    <w:uiPriority w:val="30"/>
    <w:qFormat/>
    <w:rsid w:val="00AA589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A589F"/>
    <w:rPr>
      <w:b/>
      <w:bCs/>
      <w:i/>
      <w:iCs/>
      <w:color w:val="4F81BD" w:themeColor="accent1"/>
    </w:rPr>
  </w:style>
  <w:style w:type="character" w:customStyle="1" w:styleId="Heading6Char">
    <w:name w:val="Heading 6 Char"/>
    <w:basedOn w:val="DefaultParagraphFont"/>
    <w:link w:val="Heading6"/>
    <w:uiPriority w:val="9"/>
    <w:semiHidden/>
    <w:rsid w:val="00033BCE"/>
    <w:rPr>
      <w:rFonts w:asciiTheme="majorHAnsi" w:eastAsiaTheme="majorEastAsia" w:hAnsiTheme="majorHAnsi" w:cstheme="majorBidi"/>
      <w:color w:val="243F60" w:themeColor="accent1" w:themeShade="7F"/>
    </w:rPr>
  </w:style>
  <w:style w:type="character" w:styleId="Strong">
    <w:name w:val="Strong"/>
    <w:basedOn w:val="DefaultParagraphFont"/>
    <w:uiPriority w:val="22"/>
    <w:qFormat/>
    <w:rsid w:val="0024067F"/>
    <w:rPr>
      <w:b/>
      <w:bCs/>
    </w:rPr>
  </w:style>
  <w:style w:type="character" w:customStyle="1" w:styleId="titledefault">
    <w:name w:val="title_default"/>
    <w:basedOn w:val="DefaultParagraphFont"/>
    <w:rsid w:val="00EB7EBD"/>
  </w:style>
  <w:style w:type="character" w:customStyle="1" w:styleId="Subtitle1">
    <w:name w:val="Subtitle1"/>
    <w:basedOn w:val="DefaultParagraphFont"/>
    <w:rsid w:val="00EB7EBD"/>
  </w:style>
  <w:style w:type="character" w:customStyle="1" w:styleId="sr-t">
    <w:name w:val="sr-t"/>
    <w:basedOn w:val="DefaultParagraphFont"/>
    <w:rsid w:val="00EB7EBD"/>
  </w:style>
  <w:style w:type="character" w:styleId="Emphasis">
    <w:name w:val="Emphasis"/>
    <w:basedOn w:val="DefaultParagraphFont"/>
    <w:uiPriority w:val="20"/>
    <w:qFormat/>
    <w:rsid w:val="00EB7EBD"/>
    <w:rPr>
      <w:i/>
      <w:iCs/>
    </w:rPr>
  </w:style>
  <w:style w:type="character" w:customStyle="1" w:styleId="meta-citation">
    <w:name w:val="meta-citation"/>
    <w:basedOn w:val="DefaultParagraphFont"/>
    <w:rsid w:val="00EB7EBD"/>
  </w:style>
  <w:style w:type="paragraph" w:customStyle="1" w:styleId="para">
    <w:name w:val="para"/>
    <w:basedOn w:val="Normal"/>
    <w:rsid w:val="00EB7EBD"/>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 w:type="character" w:customStyle="1" w:styleId="xref-bibr">
    <w:name w:val="xref-bibr"/>
    <w:basedOn w:val="DefaultParagraphFont"/>
    <w:rsid w:val="000307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0591">
      <w:bodyDiv w:val="1"/>
      <w:marLeft w:val="0"/>
      <w:marRight w:val="0"/>
      <w:marTop w:val="0"/>
      <w:marBottom w:val="0"/>
      <w:divBdr>
        <w:top w:val="none" w:sz="0" w:space="0" w:color="auto"/>
        <w:left w:val="none" w:sz="0" w:space="0" w:color="auto"/>
        <w:bottom w:val="none" w:sz="0" w:space="0" w:color="auto"/>
        <w:right w:val="none" w:sz="0" w:space="0" w:color="auto"/>
      </w:divBdr>
    </w:div>
    <w:div w:id="9260365">
      <w:bodyDiv w:val="1"/>
      <w:marLeft w:val="0"/>
      <w:marRight w:val="0"/>
      <w:marTop w:val="0"/>
      <w:marBottom w:val="0"/>
      <w:divBdr>
        <w:top w:val="none" w:sz="0" w:space="0" w:color="auto"/>
        <w:left w:val="none" w:sz="0" w:space="0" w:color="auto"/>
        <w:bottom w:val="none" w:sz="0" w:space="0" w:color="auto"/>
        <w:right w:val="none" w:sz="0" w:space="0" w:color="auto"/>
      </w:divBdr>
    </w:div>
    <w:div w:id="25370310">
      <w:bodyDiv w:val="1"/>
      <w:marLeft w:val="0"/>
      <w:marRight w:val="0"/>
      <w:marTop w:val="0"/>
      <w:marBottom w:val="0"/>
      <w:divBdr>
        <w:top w:val="none" w:sz="0" w:space="0" w:color="auto"/>
        <w:left w:val="none" w:sz="0" w:space="0" w:color="auto"/>
        <w:bottom w:val="none" w:sz="0" w:space="0" w:color="auto"/>
        <w:right w:val="none" w:sz="0" w:space="0" w:color="auto"/>
      </w:divBdr>
    </w:div>
    <w:div w:id="27148285">
      <w:bodyDiv w:val="1"/>
      <w:marLeft w:val="0"/>
      <w:marRight w:val="0"/>
      <w:marTop w:val="0"/>
      <w:marBottom w:val="0"/>
      <w:divBdr>
        <w:top w:val="none" w:sz="0" w:space="0" w:color="auto"/>
        <w:left w:val="none" w:sz="0" w:space="0" w:color="auto"/>
        <w:bottom w:val="none" w:sz="0" w:space="0" w:color="auto"/>
        <w:right w:val="none" w:sz="0" w:space="0" w:color="auto"/>
      </w:divBdr>
    </w:div>
    <w:div w:id="30806469">
      <w:bodyDiv w:val="1"/>
      <w:marLeft w:val="0"/>
      <w:marRight w:val="0"/>
      <w:marTop w:val="0"/>
      <w:marBottom w:val="0"/>
      <w:divBdr>
        <w:top w:val="none" w:sz="0" w:space="0" w:color="auto"/>
        <w:left w:val="none" w:sz="0" w:space="0" w:color="auto"/>
        <w:bottom w:val="none" w:sz="0" w:space="0" w:color="auto"/>
        <w:right w:val="none" w:sz="0" w:space="0" w:color="auto"/>
      </w:divBdr>
    </w:div>
    <w:div w:id="38093093">
      <w:bodyDiv w:val="1"/>
      <w:marLeft w:val="0"/>
      <w:marRight w:val="0"/>
      <w:marTop w:val="0"/>
      <w:marBottom w:val="0"/>
      <w:divBdr>
        <w:top w:val="none" w:sz="0" w:space="0" w:color="auto"/>
        <w:left w:val="none" w:sz="0" w:space="0" w:color="auto"/>
        <w:bottom w:val="none" w:sz="0" w:space="0" w:color="auto"/>
        <w:right w:val="none" w:sz="0" w:space="0" w:color="auto"/>
      </w:divBdr>
    </w:div>
    <w:div w:id="51193346">
      <w:bodyDiv w:val="1"/>
      <w:marLeft w:val="0"/>
      <w:marRight w:val="0"/>
      <w:marTop w:val="0"/>
      <w:marBottom w:val="0"/>
      <w:divBdr>
        <w:top w:val="none" w:sz="0" w:space="0" w:color="auto"/>
        <w:left w:val="none" w:sz="0" w:space="0" w:color="auto"/>
        <w:bottom w:val="none" w:sz="0" w:space="0" w:color="auto"/>
        <w:right w:val="none" w:sz="0" w:space="0" w:color="auto"/>
      </w:divBdr>
    </w:div>
    <w:div w:id="66729953">
      <w:bodyDiv w:val="1"/>
      <w:marLeft w:val="0"/>
      <w:marRight w:val="0"/>
      <w:marTop w:val="0"/>
      <w:marBottom w:val="0"/>
      <w:divBdr>
        <w:top w:val="none" w:sz="0" w:space="0" w:color="auto"/>
        <w:left w:val="none" w:sz="0" w:space="0" w:color="auto"/>
        <w:bottom w:val="none" w:sz="0" w:space="0" w:color="auto"/>
        <w:right w:val="none" w:sz="0" w:space="0" w:color="auto"/>
      </w:divBdr>
      <w:divsChild>
        <w:div w:id="434399042">
          <w:marLeft w:val="0"/>
          <w:marRight w:val="0"/>
          <w:marTop w:val="0"/>
          <w:marBottom w:val="0"/>
          <w:divBdr>
            <w:top w:val="none" w:sz="0" w:space="0" w:color="auto"/>
            <w:left w:val="none" w:sz="0" w:space="0" w:color="auto"/>
            <w:bottom w:val="none" w:sz="0" w:space="0" w:color="auto"/>
            <w:right w:val="none" w:sz="0" w:space="0" w:color="auto"/>
          </w:divBdr>
        </w:div>
      </w:divsChild>
    </w:div>
    <w:div w:id="67046698">
      <w:bodyDiv w:val="1"/>
      <w:marLeft w:val="0"/>
      <w:marRight w:val="0"/>
      <w:marTop w:val="0"/>
      <w:marBottom w:val="0"/>
      <w:divBdr>
        <w:top w:val="none" w:sz="0" w:space="0" w:color="auto"/>
        <w:left w:val="none" w:sz="0" w:space="0" w:color="auto"/>
        <w:bottom w:val="none" w:sz="0" w:space="0" w:color="auto"/>
        <w:right w:val="none" w:sz="0" w:space="0" w:color="auto"/>
      </w:divBdr>
    </w:div>
    <w:div w:id="70393823">
      <w:bodyDiv w:val="1"/>
      <w:marLeft w:val="0"/>
      <w:marRight w:val="0"/>
      <w:marTop w:val="0"/>
      <w:marBottom w:val="0"/>
      <w:divBdr>
        <w:top w:val="none" w:sz="0" w:space="0" w:color="auto"/>
        <w:left w:val="none" w:sz="0" w:space="0" w:color="auto"/>
        <w:bottom w:val="none" w:sz="0" w:space="0" w:color="auto"/>
        <w:right w:val="none" w:sz="0" w:space="0" w:color="auto"/>
      </w:divBdr>
    </w:div>
    <w:div w:id="83845506">
      <w:bodyDiv w:val="1"/>
      <w:marLeft w:val="0"/>
      <w:marRight w:val="0"/>
      <w:marTop w:val="0"/>
      <w:marBottom w:val="0"/>
      <w:divBdr>
        <w:top w:val="none" w:sz="0" w:space="0" w:color="auto"/>
        <w:left w:val="none" w:sz="0" w:space="0" w:color="auto"/>
        <w:bottom w:val="none" w:sz="0" w:space="0" w:color="auto"/>
        <w:right w:val="none" w:sz="0" w:space="0" w:color="auto"/>
      </w:divBdr>
    </w:div>
    <w:div w:id="93475765">
      <w:bodyDiv w:val="1"/>
      <w:marLeft w:val="0"/>
      <w:marRight w:val="0"/>
      <w:marTop w:val="0"/>
      <w:marBottom w:val="0"/>
      <w:divBdr>
        <w:top w:val="none" w:sz="0" w:space="0" w:color="auto"/>
        <w:left w:val="none" w:sz="0" w:space="0" w:color="auto"/>
        <w:bottom w:val="none" w:sz="0" w:space="0" w:color="auto"/>
        <w:right w:val="none" w:sz="0" w:space="0" w:color="auto"/>
      </w:divBdr>
    </w:div>
    <w:div w:id="95367502">
      <w:bodyDiv w:val="1"/>
      <w:marLeft w:val="0"/>
      <w:marRight w:val="0"/>
      <w:marTop w:val="0"/>
      <w:marBottom w:val="0"/>
      <w:divBdr>
        <w:top w:val="none" w:sz="0" w:space="0" w:color="auto"/>
        <w:left w:val="none" w:sz="0" w:space="0" w:color="auto"/>
        <w:bottom w:val="none" w:sz="0" w:space="0" w:color="auto"/>
        <w:right w:val="none" w:sz="0" w:space="0" w:color="auto"/>
      </w:divBdr>
    </w:div>
    <w:div w:id="95755061">
      <w:bodyDiv w:val="1"/>
      <w:marLeft w:val="0"/>
      <w:marRight w:val="0"/>
      <w:marTop w:val="0"/>
      <w:marBottom w:val="0"/>
      <w:divBdr>
        <w:top w:val="none" w:sz="0" w:space="0" w:color="auto"/>
        <w:left w:val="none" w:sz="0" w:space="0" w:color="auto"/>
        <w:bottom w:val="none" w:sz="0" w:space="0" w:color="auto"/>
        <w:right w:val="none" w:sz="0" w:space="0" w:color="auto"/>
      </w:divBdr>
    </w:div>
    <w:div w:id="101848619">
      <w:bodyDiv w:val="1"/>
      <w:marLeft w:val="0"/>
      <w:marRight w:val="0"/>
      <w:marTop w:val="0"/>
      <w:marBottom w:val="0"/>
      <w:divBdr>
        <w:top w:val="none" w:sz="0" w:space="0" w:color="auto"/>
        <w:left w:val="none" w:sz="0" w:space="0" w:color="auto"/>
        <w:bottom w:val="none" w:sz="0" w:space="0" w:color="auto"/>
        <w:right w:val="none" w:sz="0" w:space="0" w:color="auto"/>
      </w:divBdr>
    </w:div>
    <w:div w:id="116144338">
      <w:bodyDiv w:val="1"/>
      <w:marLeft w:val="0"/>
      <w:marRight w:val="0"/>
      <w:marTop w:val="0"/>
      <w:marBottom w:val="0"/>
      <w:divBdr>
        <w:top w:val="none" w:sz="0" w:space="0" w:color="auto"/>
        <w:left w:val="none" w:sz="0" w:space="0" w:color="auto"/>
        <w:bottom w:val="none" w:sz="0" w:space="0" w:color="auto"/>
        <w:right w:val="none" w:sz="0" w:space="0" w:color="auto"/>
      </w:divBdr>
    </w:div>
    <w:div w:id="125780541">
      <w:bodyDiv w:val="1"/>
      <w:marLeft w:val="0"/>
      <w:marRight w:val="0"/>
      <w:marTop w:val="0"/>
      <w:marBottom w:val="0"/>
      <w:divBdr>
        <w:top w:val="none" w:sz="0" w:space="0" w:color="auto"/>
        <w:left w:val="none" w:sz="0" w:space="0" w:color="auto"/>
        <w:bottom w:val="none" w:sz="0" w:space="0" w:color="auto"/>
        <w:right w:val="none" w:sz="0" w:space="0" w:color="auto"/>
      </w:divBdr>
      <w:divsChild>
        <w:div w:id="892160849">
          <w:marLeft w:val="0"/>
          <w:marRight w:val="0"/>
          <w:marTop w:val="0"/>
          <w:marBottom w:val="0"/>
          <w:divBdr>
            <w:top w:val="none" w:sz="0" w:space="0" w:color="auto"/>
            <w:left w:val="none" w:sz="0" w:space="0" w:color="auto"/>
            <w:bottom w:val="none" w:sz="0" w:space="0" w:color="auto"/>
            <w:right w:val="none" w:sz="0" w:space="0" w:color="auto"/>
          </w:divBdr>
        </w:div>
      </w:divsChild>
    </w:div>
    <w:div w:id="135607831">
      <w:bodyDiv w:val="1"/>
      <w:marLeft w:val="0"/>
      <w:marRight w:val="0"/>
      <w:marTop w:val="0"/>
      <w:marBottom w:val="0"/>
      <w:divBdr>
        <w:top w:val="none" w:sz="0" w:space="0" w:color="auto"/>
        <w:left w:val="none" w:sz="0" w:space="0" w:color="auto"/>
        <w:bottom w:val="none" w:sz="0" w:space="0" w:color="auto"/>
        <w:right w:val="none" w:sz="0" w:space="0" w:color="auto"/>
      </w:divBdr>
    </w:div>
    <w:div w:id="141234529">
      <w:bodyDiv w:val="1"/>
      <w:marLeft w:val="0"/>
      <w:marRight w:val="0"/>
      <w:marTop w:val="0"/>
      <w:marBottom w:val="0"/>
      <w:divBdr>
        <w:top w:val="none" w:sz="0" w:space="0" w:color="auto"/>
        <w:left w:val="none" w:sz="0" w:space="0" w:color="auto"/>
        <w:bottom w:val="none" w:sz="0" w:space="0" w:color="auto"/>
        <w:right w:val="none" w:sz="0" w:space="0" w:color="auto"/>
      </w:divBdr>
    </w:div>
    <w:div w:id="145826505">
      <w:bodyDiv w:val="1"/>
      <w:marLeft w:val="0"/>
      <w:marRight w:val="0"/>
      <w:marTop w:val="0"/>
      <w:marBottom w:val="0"/>
      <w:divBdr>
        <w:top w:val="none" w:sz="0" w:space="0" w:color="auto"/>
        <w:left w:val="none" w:sz="0" w:space="0" w:color="auto"/>
        <w:bottom w:val="none" w:sz="0" w:space="0" w:color="auto"/>
        <w:right w:val="none" w:sz="0" w:space="0" w:color="auto"/>
      </w:divBdr>
    </w:div>
    <w:div w:id="146632340">
      <w:bodyDiv w:val="1"/>
      <w:marLeft w:val="0"/>
      <w:marRight w:val="0"/>
      <w:marTop w:val="0"/>
      <w:marBottom w:val="0"/>
      <w:divBdr>
        <w:top w:val="none" w:sz="0" w:space="0" w:color="auto"/>
        <w:left w:val="none" w:sz="0" w:space="0" w:color="auto"/>
        <w:bottom w:val="none" w:sz="0" w:space="0" w:color="auto"/>
        <w:right w:val="none" w:sz="0" w:space="0" w:color="auto"/>
      </w:divBdr>
    </w:div>
    <w:div w:id="154222888">
      <w:bodyDiv w:val="1"/>
      <w:marLeft w:val="0"/>
      <w:marRight w:val="0"/>
      <w:marTop w:val="0"/>
      <w:marBottom w:val="0"/>
      <w:divBdr>
        <w:top w:val="none" w:sz="0" w:space="0" w:color="auto"/>
        <w:left w:val="none" w:sz="0" w:space="0" w:color="auto"/>
        <w:bottom w:val="none" w:sz="0" w:space="0" w:color="auto"/>
        <w:right w:val="none" w:sz="0" w:space="0" w:color="auto"/>
      </w:divBdr>
    </w:div>
    <w:div w:id="157813119">
      <w:bodyDiv w:val="1"/>
      <w:marLeft w:val="0"/>
      <w:marRight w:val="0"/>
      <w:marTop w:val="0"/>
      <w:marBottom w:val="0"/>
      <w:divBdr>
        <w:top w:val="none" w:sz="0" w:space="0" w:color="auto"/>
        <w:left w:val="none" w:sz="0" w:space="0" w:color="auto"/>
        <w:bottom w:val="none" w:sz="0" w:space="0" w:color="auto"/>
        <w:right w:val="none" w:sz="0" w:space="0" w:color="auto"/>
      </w:divBdr>
    </w:div>
    <w:div w:id="182674259">
      <w:bodyDiv w:val="1"/>
      <w:marLeft w:val="0"/>
      <w:marRight w:val="0"/>
      <w:marTop w:val="0"/>
      <w:marBottom w:val="0"/>
      <w:divBdr>
        <w:top w:val="none" w:sz="0" w:space="0" w:color="auto"/>
        <w:left w:val="none" w:sz="0" w:space="0" w:color="auto"/>
        <w:bottom w:val="none" w:sz="0" w:space="0" w:color="auto"/>
        <w:right w:val="none" w:sz="0" w:space="0" w:color="auto"/>
      </w:divBdr>
    </w:div>
    <w:div w:id="185096973">
      <w:bodyDiv w:val="1"/>
      <w:marLeft w:val="0"/>
      <w:marRight w:val="0"/>
      <w:marTop w:val="0"/>
      <w:marBottom w:val="0"/>
      <w:divBdr>
        <w:top w:val="none" w:sz="0" w:space="0" w:color="auto"/>
        <w:left w:val="none" w:sz="0" w:space="0" w:color="auto"/>
        <w:bottom w:val="none" w:sz="0" w:space="0" w:color="auto"/>
        <w:right w:val="none" w:sz="0" w:space="0" w:color="auto"/>
      </w:divBdr>
    </w:div>
    <w:div w:id="205219741">
      <w:bodyDiv w:val="1"/>
      <w:marLeft w:val="0"/>
      <w:marRight w:val="0"/>
      <w:marTop w:val="0"/>
      <w:marBottom w:val="0"/>
      <w:divBdr>
        <w:top w:val="none" w:sz="0" w:space="0" w:color="auto"/>
        <w:left w:val="none" w:sz="0" w:space="0" w:color="auto"/>
        <w:bottom w:val="none" w:sz="0" w:space="0" w:color="auto"/>
        <w:right w:val="none" w:sz="0" w:space="0" w:color="auto"/>
      </w:divBdr>
    </w:div>
    <w:div w:id="205603215">
      <w:bodyDiv w:val="1"/>
      <w:marLeft w:val="0"/>
      <w:marRight w:val="0"/>
      <w:marTop w:val="0"/>
      <w:marBottom w:val="0"/>
      <w:divBdr>
        <w:top w:val="none" w:sz="0" w:space="0" w:color="auto"/>
        <w:left w:val="none" w:sz="0" w:space="0" w:color="auto"/>
        <w:bottom w:val="none" w:sz="0" w:space="0" w:color="auto"/>
        <w:right w:val="none" w:sz="0" w:space="0" w:color="auto"/>
      </w:divBdr>
    </w:div>
    <w:div w:id="218640025">
      <w:bodyDiv w:val="1"/>
      <w:marLeft w:val="0"/>
      <w:marRight w:val="0"/>
      <w:marTop w:val="0"/>
      <w:marBottom w:val="0"/>
      <w:divBdr>
        <w:top w:val="none" w:sz="0" w:space="0" w:color="auto"/>
        <w:left w:val="none" w:sz="0" w:space="0" w:color="auto"/>
        <w:bottom w:val="none" w:sz="0" w:space="0" w:color="auto"/>
        <w:right w:val="none" w:sz="0" w:space="0" w:color="auto"/>
      </w:divBdr>
    </w:div>
    <w:div w:id="222260845">
      <w:bodyDiv w:val="1"/>
      <w:marLeft w:val="0"/>
      <w:marRight w:val="0"/>
      <w:marTop w:val="0"/>
      <w:marBottom w:val="0"/>
      <w:divBdr>
        <w:top w:val="none" w:sz="0" w:space="0" w:color="auto"/>
        <w:left w:val="none" w:sz="0" w:space="0" w:color="auto"/>
        <w:bottom w:val="none" w:sz="0" w:space="0" w:color="auto"/>
        <w:right w:val="none" w:sz="0" w:space="0" w:color="auto"/>
      </w:divBdr>
    </w:div>
    <w:div w:id="223834960">
      <w:bodyDiv w:val="1"/>
      <w:marLeft w:val="0"/>
      <w:marRight w:val="0"/>
      <w:marTop w:val="0"/>
      <w:marBottom w:val="0"/>
      <w:divBdr>
        <w:top w:val="none" w:sz="0" w:space="0" w:color="auto"/>
        <w:left w:val="none" w:sz="0" w:space="0" w:color="auto"/>
        <w:bottom w:val="none" w:sz="0" w:space="0" w:color="auto"/>
        <w:right w:val="none" w:sz="0" w:space="0" w:color="auto"/>
      </w:divBdr>
      <w:divsChild>
        <w:div w:id="1224835040">
          <w:marLeft w:val="0"/>
          <w:marRight w:val="0"/>
          <w:marTop w:val="150"/>
          <w:marBottom w:val="270"/>
          <w:divBdr>
            <w:top w:val="none" w:sz="0" w:space="0" w:color="auto"/>
            <w:left w:val="none" w:sz="0" w:space="0" w:color="auto"/>
            <w:bottom w:val="none" w:sz="0" w:space="0" w:color="auto"/>
            <w:right w:val="none" w:sz="0" w:space="0" w:color="auto"/>
          </w:divBdr>
        </w:div>
        <w:div w:id="1781490265">
          <w:marLeft w:val="0"/>
          <w:marRight w:val="0"/>
          <w:marTop w:val="150"/>
          <w:marBottom w:val="270"/>
          <w:divBdr>
            <w:top w:val="none" w:sz="0" w:space="0" w:color="auto"/>
            <w:left w:val="none" w:sz="0" w:space="0" w:color="auto"/>
            <w:bottom w:val="none" w:sz="0" w:space="0" w:color="auto"/>
            <w:right w:val="none" w:sz="0" w:space="0" w:color="auto"/>
          </w:divBdr>
        </w:div>
      </w:divsChild>
    </w:div>
    <w:div w:id="226501400">
      <w:bodyDiv w:val="1"/>
      <w:marLeft w:val="0"/>
      <w:marRight w:val="0"/>
      <w:marTop w:val="0"/>
      <w:marBottom w:val="0"/>
      <w:divBdr>
        <w:top w:val="none" w:sz="0" w:space="0" w:color="auto"/>
        <w:left w:val="none" w:sz="0" w:space="0" w:color="auto"/>
        <w:bottom w:val="none" w:sz="0" w:space="0" w:color="auto"/>
        <w:right w:val="none" w:sz="0" w:space="0" w:color="auto"/>
      </w:divBdr>
    </w:div>
    <w:div w:id="230778326">
      <w:bodyDiv w:val="1"/>
      <w:marLeft w:val="0"/>
      <w:marRight w:val="0"/>
      <w:marTop w:val="0"/>
      <w:marBottom w:val="0"/>
      <w:divBdr>
        <w:top w:val="none" w:sz="0" w:space="0" w:color="auto"/>
        <w:left w:val="none" w:sz="0" w:space="0" w:color="auto"/>
        <w:bottom w:val="none" w:sz="0" w:space="0" w:color="auto"/>
        <w:right w:val="none" w:sz="0" w:space="0" w:color="auto"/>
      </w:divBdr>
      <w:divsChild>
        <w:div w:id="2069574764">
          <w:marLeft w:val="0"/>
          <w:marRight w:val="0"/>
          <w:marTop w:val="0"/>
          <w:marBottom w:val="0"/>
          <w:divBdr>
            <w:top w:val="none" w:sz="0" w:space="0" w:color="auto"/>
            <w:left w:val="none" w:sz="0" w:space="0" w:color="auto"/>
            <w:bottom w:val="none" w:sz="0" w:space="0" w:color="auto"/>
            <w:right w:val="none" w:sz="0" w:space="0" w:color="auto"/>
          </w:divBdr>
        </w:div>
        <w:div w:id="327758475">
          <w:marLeft w:val="0"/>
          <w:marRight w:val="0"/>
          <w:marTop w:val="0"/>
          <w:marBottom w:val="0"/>
          <w:divBdr>
            <w:top w:val="none" w:sz="0" w:space="0" w:color="auto"/>
            <w:left w:val="none" w:sz="0" w:space="0" w:color="auto"/>
            <w:bottom w:val="none" w:sz="0" w:space="0" w:color="auto"/>
            <w:right w:val="none" w:sz="0" w:space="0" w:color="auto"/>
          </w:divBdr>
          <w:divsChild>
            <w:div w:id="1412695549">
              <w:marLeft w:val="0"/>
              <w:marRight w:val="0"/>
              <w:marTop w:val="0"/>
              <w:marBottom w:val="0"/>
              <w:divBdr>
                <w:top w:val="none" w:sz="0" w:space="0" w:color="auto"/>
                <w:left w:val="none" w:sz="0" w:space="0" w:color="auto"/>
                <w:bottom w:val="none" w:sz="0" w:space="0" w:color="auto"/>
                <w:right w:val="none" w:sz="0" w:space="0" w:color="auto"/>
              </w:divBdr>
              <w:divsChild>
                <w:div w:id="780958247">
                  <w:marLeft w:val="0"/>
                  <w:marRight w:val="0"/>
                  <w:marTop w:val="0"/>
                  <w:marBottom w:val="0"/>
                  <w:divBdr>
                    <w:top w:val="none" w:sz="0" w:space="0" w:color="auto"/>
                    <w:left w:val="none" w:sz="0" w:space="0" w:color="auto"/>
                    <w:bottom w:val="none" w:sz="0" w:space="0" w:color="auto"/>
                    <w:right w:val="none" w:sz="0" w:space="0" w:color="auto"/>
                  </w:divBdr>
                </w:div>
              </w:divsChild>
            </w:div>
            <w:div w:id="95683164">
              <w:marLeft w:val="0"/>
              <w:marRight w:val="0"/>
              <w:marTop w:val="0"/>
              <w:marBottom w:val="0"/>
              <w:divBdr>
                <w:top w:val="none" w:sz="0" w:space="0" w:color="auto"/>
                <w:left w:val="none" w:sz="0" w:space="0" w:color="auto"/>
                <w:bottom w:val="none" w:sz="0" w:space="0" w:color="auto"/>
                <w:right w:val="none" w:sz="0" w:space="0" w:color="auto"/>
              </w:divBdr>
              <w:divsChild>
                <w:div w:id="617755878">
                  <w:marLeft w:val="0"/>
                  <w:marRight w:val="0"/>
                  <w:marTop w:val="0"/>
                  <w:marBottom w:val="0"/>
                  <w:divBdr>
                    <w:top w:val="none" w:sz="0" w:space="0" w:color="auto"/>
                    <w:left w:val="none" w:sz="0" w:space="0" w:color="auto"/>
                    <w:bottom w:val="none" w:sz="0" w:space="0" w:color="auto"/>
                    <w:right w:val="none" w:sz="0" w:space="0" w:color="auto"/>
                  </w:divBdr>
                  <w:divsChild>
                    <w:div w:id="166942050">
                      <w:marLeft w:val="0"/>
                      <w:marRight w:val="0"/>
                      <w:marTop w:val="0"/>
                      <w:marBottom w:val="0"/>
                      <w:divBdr>
                        <w:top w:val="none" w:sz="0" w:space="0" w:color="auto"/>
                        <w:left w:val="none" w:sz="0" w:space="0" w:color="auto"/>
                        <w:bottom w:val="none" w:sz="0" w:space="0" w:color="auto"/>
                        <w:right w:val="none" w:sz="0" w:space="0" w:color="auto"/>
                      </w:divBdr>
                      <w:divsChild>
                        <w:div w:id="2049060718">
                          <w:marLeft w:val="0"/>
                          <w:marRight w:val="0"/>
                          <w:marTop w:val="0"/>
                          <w:marBottom w:val="0"/>
                          <w:divBdr>
                            <w:top w:val="none" w:sz="0" w:space="0" w:color="auto"/>
                            <w:left w:val="none" w:sz="0" w:space="0" w:color="auto"/>
                            <w:bottom w:val="none" w:sz="0" w:space="0" w:color="auto"/>
                            <w:right w:val="none" w:sz="0" w:space="0" w:color="auto"/>
                          </w:divBdr>
                          <w:divsChild>
                            <w:div w:id="66996856">
                              <w:marLeft w:val="0"/>
                              <w:marRight w:val="0"/>
                              <w:marTop w:val="0"/>
                              <w:marBottom w:val="0"/>
                              <w:divBdr>
                                <w:top w:val="none" w:sz="0" w:space="0" w:color="auto"/>
                                <w:left w:val="none" w:sz="0" w:space="0" w:color="auto"/>
                                <w:bottom w:val="none" w:sz="0" w:space="0" w:color="auto"/>
                                <w:right w:val="none" w:sz="0" w:space="0" w:color="auto"/>
                              </w:divBdr>
                            </w:div>
                          </w:divsChild>
                        </w:div>
                        <w:div w:id="700204282">
                          <w:marLeft w:val="0"/>
                          <w:marRight w:val="0"/>
                          <w:marTop w:val="0"/>
                          <w:marBottom w:val="0"/>
                          <w:divBdr>
                            <w:top w:val="none" w:sz="0" w:space="0" w:color="auto"/>
                            <w:left w:val="none" w:sz="0" w:space="0" w:color="auto"/>
                            <w:bottom w:val="none" w:sz="0" w:space="0" w:color="auto"/>
                            <w:right w:val="none" w:sz="0" w:space="0" w:color="auto"/>
                          </w:divBdr>
                        </w:div>
                        <w:div w:id="29976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5668585">
      <w:bodyDiv w:val="1"/>
      <w:marLeft w:val="0"/>
      <w:marRight w:val="0"/>
      <w:marTop w:val="0"/>
      <w:marBottom w:val="0"/>
      <w:divBdr>
        <w:top w:val="none" w:sz="0" w:space="0" w:color="auto"/>
        <w:left w:val="none" w:sz="0" w:space="0" w:color="auto"/>
        <w:bottom w:val="none" w:sz="0" w:space="0" w:color="auto"/>
        <w:right w:val="none" w:sz="0" w:space="0" w:color="auto"/>
      </w:divBdr>
    </w:div>
    <w:div w:id="238754349">
      <w:bodyDiv w:val="1"/>
      <w:marLeft w:val="0"/>
      <w:marRight w:val="0"/>
      <w:marTop w:val="0"/>
      <w:marBottom w:val="0"/>
      <w:divBdr>
        <w:top w:val="none" w:sz="0" w:space="0" w:color="auto"/>
        <w:left w:val="none" w:sz="0" w:space="0" w:color="auto"/>
        <w:bottom w:val="none" w:sz="0" w:space="0" w:color="auto"/>
        <w:right w:val="none" w:sz="0" w:space="0" w:color="auto"/>
      </w:divBdr>
    </w:div>
    <w:div w:id="263222739">
      <w:bodyDiv w:val="1"/>
      <w:marLeft w:val="0"/>
      <w:marRight w:val="0"/>
      <w:marTop w:val="0"/>
      <w:marBottom w:val="0"/>
      <w:divBdr>
        <w:top w:val="none" w:sz="0" w:space="0" w:color="auto"/>
        <w:left w:val="none" w:sz="0" w:space="0" w:color="auto"/>
        <w:bottom w:val="none" w:sz="0" w:space="0" w:color="auto"/>
        <w:right w:val="none" w:sz="0" w:space="0" w:color="auto"/>
      </w:divBdr>
    </w:div>
    <w:div w:id="265190128">
      <w:bodyDiv w:val="1"/>
      <w:marLeft w:val="0"/>
      <w:marRight w:val="0"/>
      <w:marTop w:val="0"/>
      <w:marBottom w:val="0"/>
      <w:divBdr>
        <w:top w:val="none" w:sz="0" w:space="0" w:color="auto"/>
        <w:left w:val="none" w:sz="0" w:space="0" w:color="auto"/>
        <w:bottom w:val="none" w:sz="0" w:space="0" w:color="auto"/>
        <w:right w:val="none" w:sz="0" w:space="0" w:color="auto"/>
      </w:divBdr>
      <w:divsChild>
        <w:div w:id="1849054998">
          <w:marLeft w:val="0"/>
          <w:marRight w:val="0"/>
          <w:marTop w:val="0"/>
          <w:marBottom w:val="0"/>
          <w:divBdr>
            <w:top w:val="none" w:sz="0" w:space="0" w:color="auto"/>
            <w:left w:val="none" w:sz="0" w:space="0" w:color="auto"/>
            <w:bottom w:val="none" w:sz="0" w:space="0" w:color="auto"/>
            <w:right w:val="none" w:sz="0" w:space="0" w:color="auto"/>
          </w:divBdr>
        </w:div>
      </w:divsChild>
    </w:div>
    <w:div w:id="266158771">
      <w:bodyDiv w:val="1"/>
      <w:marLeft w:val="0"/>
      <w:marRight w:val="0"/>
      <w:marTop w:val="0"/>
      <w:marBottom w:val="0"/>
      <w:divBdr>
        <w:top w:val="none" w:sz="0" w:space="0" w:color="auto"/>
        <w:left w:val="none" w:sz="0" w:space="0" w:color="auto"/>
        <w:bottom w:val="none" w:sz="0" w:space="0" w:color="auto"/>
        <w:right w:val="none" w:sz="0" w:space="0" w:color="auto"/>
      </w:divBdr>
    </w:div>
    <w:div w:id="277494699">
      <w:bodyDiv w:val="1"/>
      <w:marLeft w:val="0"/>
      <w:marRight w:val="0"/>
      <w:marTop w:val="0"/>
      <w:marBottom w:val="0"/>
      <w:divBdr>
        <w:top w:val="none" w:sz="0" w:space="0" w:color="auto"/>
        <w:left w:val="none" w:sz="0" w:space="0" w:color="auto"/>
        <w:bottom w:val="none" w:sz="0" w:space="0" w:color="auto"/>
        <w:right w:val="none" w:sz="0" w:space="0" w:color="auto"/>
      </w:divBdr>
    </w:div>
    <w:div w:id="277567639">
      <w:bodyDiv w:val="1"/>
      <w:marLeft w:val="0"/>
      <w:marRight w:val="0"/>
      <w:marTop w:val="0"/>
      <w:marBottom w:val="0"/>
      <w:divBdr>
        <w:top w:val="none" w:sz="0" w:space="0" w:color="auto"/>
        <w:left w:val="none" w:sz="0" w:space="0" w:color="auto"/>
        <w:bottom w:val="none" w:sz="0" w:space="0" w:color="auto"/>
        <w:right w:val="none" w:sz="0" w:space="0" w:color="auto"/>
      </w:divBdr>
    </w:div>
    <w:div w:id="280890324">
      <w:bodyDiv w:val="1"/>
      <w:marLeft w:val="0"/>
      <w:marRight w:val="0"/>
      <w:marTop w:val="0"/>
      <w:marBottom w:val="0"/>
      <w:divBdr>
        <w:top w:val="none" w:sz="0" w:space="0" w:color="auto"/>
        <w:left w:val="none" w:sz="0" w:space="0" w:color="auto"/>
        <w:bottom w:val="none" w:sz="0" w:space="0" w:color="auto"/>
        <w:right w:val="none" w:sz="0" w:space="0" w:color="auto"/>
      </w:divBdr>
    </w:div>
    <w:div w:id="287008298">
      <w:bodyDiv w:val="1"/>
      <w:marLeft w:val="0"/>
      <w:marRight w:val="0"/>
      <w:marTop w:val="0"/>
      <w:marBottom w:val="0"/>
      <w:divBdr>
        <w:top w:val="none" w:sz="0" w:space="0" w:color="auto"/>
        <w:left w:val="none" w:sz="0" w:space="0" w:color="auto"/>
        <w:bottom w:val="none" w:sz="0" w:space="0" w:color="auto"/>
        <w:right w:val="none" w:sz="0" w:space="0" w:color="auto"/>
      </w:divBdr>
    </w:div>
    <w:div w:id="288123215">
      <w:bodyDiv w:val="1"/>
      <w:marLeft w:val="0"/>
      <w:marRight w:val="0"/>
      <w:marTop w:val="0"/>
      <w:marBottom w:val="0"/>
      <w:divBdr>
        <w:top w:val="none" w:sz="0" w:space="0" w:color="auto"/>
        <w:left w:val="none" w:sz="0" w:space="0" w:color="auto"/>
        <w:bottom w:val="none" w:sz="0" w:space="0" w:color="auto"/>
        <w:right w:val="none" w:sz="0" w:space="0" w:color="auto"/>
      </w:divBdr>
    </w:div>
    <w:div w:id="289090575">
      <w:bodyDiv w:val="1"/>
      <w:marLeft w:val="0"/>
      <w:marRight w:val="0"/>
      <w:marTop w:val="0"/>
      <w:marBottom w:val="0"/>
      <w:divBdr>
        <w:top w:val="none" w:sz="0" w:space="0" w:color="auto"/>
        <w:left w:val="none" w:sz="0" w:space="0" w:color="auto"/>
        <w:bottom w:val="none" w:sz="0" w:space="0" w:color="auto"/>
        <w:right w:val="none" w:sz="0" w:space="0" w:color="auto"/>
      </w:divBdr>
    </w:div>
    <w:div w:id="319623539">
      <w:bodyDiv w:val="1"/>
      <w:marLeft w:val="0"/>
      <w:marRight w:val="0"/>
      <w:marTop w:val="0"/>
      <w:marBottom w:val="0"/>
      <w:divBdr>
        <w:top w:val="none" w:sz="0" w:space="0" w:color="auto"/>
        <w:left w:val="none" w:sz="0" w:space="0" w:color="auto"/>
        <w:bottom w:val="none" w:sz="0" w:space="0" w:color="auto"/>
        <w:right w:val="none" w:sz="0" w:space="0" w:color="auto"/>
      </w:divBdr>
    </w:div>
    <w:div w:id="323434942">
      <w:bodyDiv w:val="1"/>
      <w:marLeft w:val="0"/>
      <w:marRight w:val="0"/>
      <w:marTop w:val="0"/>
      <w:marBottom w:val="0"/>
      <w:divBdr>
        <w:top w:val="none" w:sz="0" w:space="0" w:color="auto"/>
        <w:left w:val="none" w:sz="0" w:space="0" w:color="auto"/>
        <w:bottom w:val="none" w:sz="0" w:space="0" w:color="auto"/>
        <w:right w:val="none" w:sz="0" w:space="0" w:color="auto"/>
      </w:divBdr>
    </w:div>
    <w:div w:id="328558943">
      <w:bodyDiv w:val="1"/>
      <w:marLeft w:val="0"/>
      <w:marRight w:val="0"/>
      <w:marTop w:val="0"/>
      <w:marBottom w:val="0"/>
      <w:divBdr>
        <w:top w:val="none" w:sz="0" w:space="0" w:color="auto"/>
        <w:left w:val="none" w:sz="0" w:space="0" w:color="auto"/>
        <w:bottom w:val="none" w:sz="0" w:space="0" w:color="auto"/>
        <w:right w:val="none" w:sz="0" w:space="0" w:color="auto"/>
      </w:divBdr>
      <w:divsChild>
        <w:div w:id="1292832703">
          <w:marLeft w:val="0"/>
          <w:marRight w:val="0"/>
          <w:marTop w:val="0"/>
          <w:marBottom w:val="0"/>
          <w:divBdr>
            <w:top w:val="none" w:sz="0" w:space="0" w:color="auto"/>
            <w:left w:val="none" w:sz="0" w:space="0" w:color="auto"/>
            <w:bottom w:val="none" w:sz="0" w:space="0" w:color="auto"/>
            <w:right w:val="none" w:sz="0" w:space="0" w:color="auto"/>
          </w:divBdr>
        </w:div>
      </w:divsChild>
    </w:div>
    <w:div w:id="335419778">
      <w:bodyDiv w:val="1"/>
      <w:marLeft w:val="0"/>
      <w:marRight w:val="0"/>
      <w:marTop w:val="0"/>
      <w:marBottom w:val="0"/>
      <w:divBdr>
        <w:top w:val="none" w:sz="0" w:space="0" w:color="auto"/>
        <w:left w:val="none" w:sz="0" w:space="0" w:color="auto"/>
        <w:bottom w:val="none" w:sz="0" w:space="0" w:color="auto"/>
        <w:right w:val="none" w:sz="0" w:space="0" w:color="auto"/>
      </w:divBdr>
    </w:div>
    <w:div w:id="339357142">
      <w:bodyDiv w:val="1"/>
      <w:marLeft w:val="0"/>
      <w:marRight w:val="0"/>
      <w:marTop w:val="0"/>
      <w:marBottom w:val="0"/>
      <w:divBdr>
        <w:top w:val="none" w:sz="0" w:space="0" w:color="auto"/>
        <w:left w:val="none" w:sz="0" w:space="0" w:color="auto"/>
        <w:bottom w:val="none" w:sz="0" w:space="0" w:color="auto"/>
        <w:right w:val="none" w:sz="0" w:space="0" w:color="auto"/>
      </w:divBdr>
      <w:divsChild>
        <w:div w:id="1540818336">
          <w:marLeft w:val="0"/>
          <w:marRight w:val="0"/>
          <w:marTop w:val="0"/>
          <w:marBottom w:val="120"/>
          <w:divBdr>
            <w:top w:val="none" w:sz="0" w:space="0" w:color="auto"/>
            <w:left w:val="none" w:sz="0" w:space="0" w:color="auto"/>
            <w:bottom w:val="none" w:sz="0" w:space="0" w:color="auto"/>
            <w:right w:val="none" w:sz="0" w:space="0" w:color="auto"/>
          </w:divBdr>
        </w:div>
        <w:div w:id="1304314695">
          <w:marLeft w:val="0"/>
          <w:marRight w:val="0"/>
          <w:marTop w:val="0"/>
          <w:marBottom w:val="0"/>
          <w:divBdr>
            <w:top w:val="none" w:sz="0" w:space="0" w:color="auto"/>
            <w:left w:val="none" w:sz="0" w:space="0" w:color="auto"/>
            <w:bottom w:val="none" w:sz="0" w:space="0" w:color="auto"/>
            <w:right w:val="none" w:sz="0" w:space="0" w:color="auto"/>
          </w:divBdr>
          <w:divsChild>
            <w:div w:id="160781046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339892271">
      <w:bodyDiv w:val="1"/>
      <w:marLeft w:val="0"/>
      <w:marRight w:val="0"/>
      <w:marTop w:val="0"/>
      <w:marBottom w:val="0"/>
      <w:divBdr>
        <w:top w:val="none" w:sz="0" w:space="0" w:color="auto"/>
        <w:left w:val="none" w:sz="0" w:space="0" w:color="auto"/>
        <w:bottom w:val="none" w:sz="0" w:space="0" w:color="auto"/>
        <w:right w:val="none" w:sz="0" w:space="0" w:color="auto"/>
      </w:divBdr>
    </w:div>
    <w:div w:id="343165634">
      <w:bodyDiv w:val="1"/>
      <w:marLeft w:val="0"/>
      <w:marRight w:val="0"/>
      <w:marTop w:val="0"/>
      <w:marBottom w:val="0"/>
      <w:divBdr>
        <w:top w:val="none" w:sz="0" w:space="0" w:color="auto"/>
        <w:left w:val="none" w:sz="0" w:space="0" w:color="auto"/>
        <w:bottom w:val="none" w:sz="0" w:space="0" w:color="auto"/>
        <w:right w:val="none" w:sz="0" w:space="0" w:color="auto"/>
      </w:divBdr>
      <w:divsChild>
        <w:div w:id="1795706776">
          <w:marLeft w:val="0"/>
          <w:marRight w:val="0"/>
          <w:marTop w:val="15"/>
          <w:marBottom w:val="0"/>
          <w:divBdr>
            <w:top w:val="none" w:sz="0" w:space="0" w:color="auto"/>
            <w:left w:val="none" w:sz="0" w:space="0" w:color="auto"/>
            <w:bottom w:val="none" w:sz="0" w:space="0" w:color="auto"/>
            <w:right w:val="none" w:sz="0" w:space="0" w:color="auto"/>
          </w:divBdr>
          <w:divsChild>
            <w:div w:id="158324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216895">
      <w:bodyDiv w:val="1"/>
      <w:marLeft w:val="0"/>
      <w:marRight w:val="0"/>
      <w:marTop w:val="0"/>
      <w:marBottom w:val="0"/>
      <w:divBdr>
        <w:top w:val="none" w:sz="0" w:space="0" w:color="auto"/>
        <w:left w:val="none" w:sz="0" w:space="0" w:color="auto"/>
        <w:bottom w:val="none" w:sz="0" w:space="0" w:color="auto"/>
        <w:right w:val="none" w:sz="0" w:space="0" w:color="auto"/>
      </w:divBdr>
    </w:div>
    <w:div w:id="355233422">
      <w:bodyDiv w:val="1"/>
      <w:marLeft w:val="0"/>
      <w:marRight w:val="0"/>
      <w:marTop w:val="0"/>
      <w:marBottom w:val="0"/>
      <w:divBdr>
        <w:top w:val="none" w:sz="0" w:space="0" w:color="auto"/>
        <w:left w:val="none" w:sz="0" w:space="0" w:color="auto"/>
        <w:bottom w:val="none" w:sz="0" w:space="0" w:color="auto"/>
        <w:right w:val="none" w:sz="0" w:space="0" w:color="auto"/>
      </w:divBdr>
    </w:div>
    <w:div w:id="355277866">
      <w:bodyDiv w:val="1"/>
      <w:marLeft w:val="0"/>
      <w:marRight w:val="0"/>
      <w:marTop w:val="0"/>
      <w:marBottom w:val="0"/>
      <w:divBdr>
        <w:top w:val="none" w:sz="0" w:space="0" w:color="auto"/>
        <w:left w:val="none" w:sz="0" w:space="0" w:color="auto"/>
        <w:bottom w:val="none" w:sz="0" w:space="0" w:color="auto"/>
        <w:right w:val="none" w:sz="0" w:space="0" w:color="auto"/>
      </w:divBdr>
      <w:divsChild>
        <w:div w:id="931159825">
          <w:marLeft w:val="0"/>
          <w:marRight w:val="0"/>
          <w:marTop w:val="0"/>
          <w:marBottom w:val="120"/>
          <w:divBdr>
            <w:top w:val="none" w:sz="0" w:space="0" w:color="auto"/>
            <w:left w:val="none" w:sz="0" w:space="0" w:color="auto"/>
            <w:bottom w:val="none" w:sz="0" w:space="0" w:color="auto"/>
            <w:right w:val="none" w:sz="0" w:space="0" w:color="auto"/>
          </w:divBdr>
        </w:div>
        <w:div w:id="725765693">
          <w:marLeft w:val="0"/>
          <w:marRight w:val="0"/>
          <w:marTop w:val="0"/>
          <w:marBottom w:val="0"/>
          <w:divBdr>
            <w:top w:val="none" w:sz="0" w:space="0" w:color="auto"/>
            <w:left w:val="none" w:sz="0" w:space="0" w:color="auto"/>
            <w:bottom w:val="none" w:sz="0" w:space="0" w:color="auto"/>
            <w:right w:val="none" w:sz="0" w:space="0" w:color="auto"/>
          </w:divBdr>
          <w:divsChild>
            <w:div w:id="859393882">
              <w:blockQuote w:val="1"/>
              <w:marLeft w:val="0"/>
              <w:marRight w:val="0"/>
              <w:marTop w:val="0"/>
              <w:marBottom w:val="360"/>
              <w:divBdr>
                <w:top w:val="none" w:sz="0" w:space="0" w:color="auto"/>
                <w:left w:val="none" w:sz="0" w:space="0" w:color="auto"/>
                <w:bottom w:val="none" w:sz="0" w:space="0" w:color="auto"/>
                <w:right w:val="none" w:sz="0" w:space="0" w:color="auto"/>
              </w:divBdr>
            </w:div>
            <w:div w:id="172668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560881">
      <w:bodyDiv w:val="1"/>
      <w:marLeft w:val="0"/>
      <w:marRight w:val="0"/>
      <w:marTop w:val="0"/>
      <w:marBottom w:val="0"/>
      <w:divBdr>
        <w:top w:val="none" w:sz="0" w:space="0" w:color="auto"/>
        <w:left w:val="none" w:sz="0" w:space="0" w:color="auto"/>
        <w:bottom w:val="none" w:sz="0" w:space="0" w:color="auto"/>
        <w:right w:val="none" w:sz="0" w:space="0" w:color="auto"/>
      </w:divBdr>
    </w:div>
    <w:div w:id="365714332">
      <w:bodyDiv w:val="1"/>
      <w:marLeft w:val="0"/>
      <w:marRight w:val="0"/>
      <w:marTop w:val="0"/>
      <w:marBottom w:val="0"/>
      <w:divBdr>
        <w:top w:val="none" w:sz="0" w:space="0" w:color="auto"/>
        <w:left w:val="none" w:sz="0" w:space="0" w:color="auto"/>
        <w:bottom w:val="none" w:sz="0" w:space="0" w:color="auto"/>
        <w:right w:val="none" w:sz="0" w:space="0" w:color="auto"/>
      </w:divBdr>
    </w:div>
    <w:div w:id="368726528">
      <w:bodyDiv w:val="1"/>
      <w:marLeft w:val="0"/>
      <w:marRight w:val="0"/>
      <w:marTop w:val="0"/>
      <w:marBottom w:val="0"/>
      <w:divBdr>
        <w:top w:val="none" w:sz="0" w:space="0" w:color="auto"/>
        <w:left w:val="none" w:sz="0" w:space="0" w:color="auto"/>
        <w:bottom w:val="none" w:sz="0" w:space="0" w:color="auto"/>
        <w:right w:val="none" w:sz="0" w:space="0" w:color="auto"/>
      </w:divBdr>
      <w:divsChild>
        <w:div w:id="1577788179">
          <w:marLeft w:val="0"/>
          <w:marRight w:val="0"/>
          <w:marTop w:val="0"/>
          <w:marBottom w:val="0"/>
          <w:divBdr>
            <w:top w:val="none" w:sz="0" w:space="0" w:color="auto"/>
            <w:left w:val="none" w:sz="0" w:space="0" w:color="auto"/>
            <w:bottom w:val="none" w:sz="0" w:space="0" w:color="auto"/>
            <w:right w:val="none" w:sz="0" w:space="0" w:color="auto"/>
          </w:divBdr>
        </w:div>
      </w:divsChild>
    </w:div>
    <w:div w:id="374158618">
      <w:bodyDiv w:val="1"/>
      <w:marLeft w:val="0"/>
      <w:marRight w:val="0"/>
      <w:marTop w:val="0"/>
      <w:marBottom w:val="0"/>
      <w:divBdr>
        <w:top w:val="none" w:sz="0" w:space="0" w:color="auto"/>
        <w:left w:val="none" w:sz="0" w:space="0" w:color="auto"/>
        <w:bottom w:val="none" w:sz="0" w:space="0" w:color="auto"/>
        <w:right w:val="none" w:sz="0" w:space="0" w:color="auto"/>
      </w:divBdr>
    </w:div>
    <w:div w:id="386072621">
      <w:bodyDiv w:val="1"/>
      <w:marLeft w:val="0"/>
      <w:marRight w:val="0"/>
      <w:marTop w:val="0"/>
      <w:marBottom w:val="0"/>
      <w:divBdr>
        <w:top w:val="none" w:sz="0" w:space="0" w:color="auto"/>
        <w:left w:val="none" w:sz="0" w:space="0" w:color="auto"/>
        <w:bottom w:val="none" w:sz="0" w:space="0" w:color="auto"/>
        <w:right w:val="none" w:sz="0" w:space="0" w:color="auto"/>
      </w:divBdr>
    </w:div>
    <w:div w:id="393238464">
      <w:bodyDiv w:val="1"/>
      <w:marLeft w:val="0"/>
      <w:marRight w:val="0"/>
      <w:marTop w:val="0"/>
      <w:marBottom w:val="0"/>
      <w:divBdr>
        <w:top w:val="none" w:sz="0" w:space="0" w:color="auto"/>
        <w:left w:val="none" w:sz="0" w:space="0" w:color="auto"/>
        <w:bottom w:val="none" w:sz="0" w:space="0" w:color="auto"/>
        <w:right w:val="none" w:sz="0" w:space="0" w:color="auto"/>
      </w:divBdr>
      <w:divsChild>
        <w:div w:id="701784898">
          <w:marLeft w:val="0"/>
          <w:marRight w:val="-2100"/>
          <w:marTop w:val="0"/>
          <w:marBottom w:val="0"/>
          <w:divBdr>
            <w:top w:val="none" w:sz="0" w:space="0" w:color="auto"/>
            <w:left w:val="none" w:sz="0" w:space="0" w:color="auto"/>
            <w:bottom w:val="none" w:sz="0" w:space="0" w:color="auto"/>
            <w:right w:val="none" w:sz="0" w:space="0" w:color="auto"/>
          </w:divBdr>
          <w:divsChild>
            <w:div w:id="1260792934">
              <w:marLeft w:val="0"/>
              <w:marRight w:val="2100"/>
              <w:marTop w:val="0"/>
              <w:marBottom w:val="0"/>
              <w:divBdr>
                <w:top w:val="none" w:sz="0" w:space="0" w:color="auto"/>
                <w:left w:val="none" w:sz="0" w:space="0" w:color="auto"/>
                <w:bottom w:val="none" w:sz="0" w:space="0" w:color="auto"/>
                <w:right w:val="none" w:sz="0" w:space="0" w:color="auto"/>
              </w:divBdr>
              <w:divsChild>
                <w:div w:id="1782341163">
                  <w:marLeft w:val="360"/>
                  <w:marRight w:val="0"/>
                  <w:marTop w:val="0"/>
                  <w:marBottom w:val="360"/>
                  <w:divBdr>
                    <w:top w:val="none" w:sz="0" w:space="0" w:color="auto"/>
                    <w:left w:val="none" w:sz="0" w:space="0" w:color="auto"/>
                    <w:bottom w:val="none" w:sz="0" w:space="0" w:color="auto"/>
                    <w:right w:val="none" w:sz="0" w:space="0" w:color="auto"/>
                  </w:divBdr>
                </w:div>
              </w:divsChild>
            </w:div>
            <w:div w:id="1392535023">
              <w:marLeft w:val="0"/>
              <w:marRight w:val="2100"/>
              <w:marTop w:val="0"/>
              <w:marBottom w:val="0"/>
              <w:divBdr>
                <w:top w:val="none" w:sz="0" w:space="0" w:color="auto"/>
                <w:left w:val="none" w:sz="0" w:space="0" w:color="auto"/>
                <w:bottom w:val="none" w:sz="0" w:space="0" w:color="auto"/>
                <w:right w:val="none" w:sz="0" w:space="0" w:color="auto"/>
              </w:divBdr>
            </w:div>
          </w:divsChild>
        </w:div>
        <w:div w:id="2127503305">
          <w:marLeft w:val="0"/>
          <w:marRight w:val="0"/>
          <w:marTop w:val="0"/>
          <w:marBottom w:val="30"/>
          <w:divBdr>
            <w:top w:val="none" w:sz="0" w:space="0" w:color="auto"/>
            <w:left w:val="none" w:sz="0" w:space="0" w:color="auto"/>
            <w:bottom w:val="none" w:sz="0" w:space="0" w:color="auto"/>
            <w:right w:val="none" w:sz="0" w:space="0" w:color="auto"/>
          </w:divBdr>
        </w:div>
        <w:div w:id="22828053">
          <w:marLeft w:val="0"/>
          <w:marRight w:val="0"/>
          <w:marTop w:val="0"/>
          <w:marBottom w:val="30"/>
          <w:divBdr>
            <w:top w:val="none" w:sz="0" w:space="0" w:color="auto"/>
            <w:left w:val="none" w:sz="0" w:space="0" w:color="auto"/>
            <w:bottom w:val="none" w:sz="0" w:space="0" w:color="auto"/>
            <w:right w:val="none" w:sz="0" w:space="0" w:color="auto"/>
          </w:divBdr>
        </w:div>
        <w:div w:id="1398547911">
          <w:marLeft w:val="0"/>
          <w:marRight w:val="0"/>
          <w:marTop w:val="0"/>
          <w:marBottom w:val="30"/>
          <w:divBdr>
            <w:top w:val="none" w:sz="0" w:space="0" w:color="auto"/>
            <w:left w:val="none" w:sz="0" w:space="0" w:color="auto"/>
            <w:bottom w:val="none" w:sz="0" w:space="0" w:color="auto"/>
            <w:right w:val="none" w:sz="0" w:space="0" w:color="auto"/>
          </w:divBdr>
        </w:div>
        <w:div w:id="1379282630">
          <w:marLeft w:val="0"/>
          <w:marRight w:val="0"/>
          <w:marTop w:val="0"/>
          <w:marBottom w:val="30"/>
          <w:divBdr>
            <w:top w:val="none" w:sz="0" w:space="0" w:color="auto"/>
            <w:left w:val="none" w:sz="0" w:space="0" w:color="auto"/>
            <w:bottom w:val="none" w:sz="0" w:space="0" w:color="auto"/>
            <w:right w:val="none" w:sz="0" w:space="0" w:color="auto"/>
          </w:divBdr>
        </w:div>
        <w:div w:id="2016615836">
          <w:marLeft w:val="0"/>
          <w:marRight w:val="-2100"/>
          <w:marTop w:val="0"/>
          <w:marBottom w:val="0"/>
          <w:divBdr>
            <w:top w:val="none" w:sz="0" w:space="0" w:color="auto"/>
            <w:left w:val="none" w:sz="0" w:space="0" w:color="auto"/>
            <w:bottom w:val="none" w:sz="0" w:space="0" w:color="auto"/>
            <w:right w:val="none" w:sz="0" w:space="0" w:color="auto"/>
          </w:divBdr>
          <w:divsChild>
            <w:div w:id="2048556704">
              <w:marLeft w:val="0"/>
              <w:marRight w:val="2100"/>
              <w:marTop w:val="0"/>
              <w:marBottom w:val="0"/>
              <w:divBdr>
                <w:top w:val="none" w:sz="0" w:space="0" w:color="auto"/>
                <w:left w:val="none" w:sz="0" w:space="0" w:color="auto"/>
                <w:bottom w:val="none" w:sz="0" w:space="0" w:color="auto"/>
                <w:right w:val="none" w:sz="0" w:space="0" w:color="auto"/>
              </w:divBdr>
            </w:div>
            <w:div w:id="1568881878">
              <w:marLeft w:val="0"/>
              <w:marRight w:val="2100"/>
              <w:marTop w:val="0"/>
              <w:marBottom w:val="0"/>
              <w:divBdr>
                <w:top w:val="none" w:sz="0" w:space="0" w:color="auto"/>
                <w:left w:val="none" w:sz="0" w:space="0" w:color="auto"/>
                <w:bottom w:val="none" w:sz="0" w:space="0" w:color="auto"/>
                <w:right w:val="none" w:sz="0" w:space="0" w:color="auto"/>
              </w:divBdr>
            </w:div>
          </w:divsChild>
        </w:div>
        <w:div w:id="39594741">
          <w:marLeft w:val="0"/>
          <w:marRight w:val="0"/>
          <w:marTop w:val="0"/>
          <w:marBottom w:val="30"/>
          <w:divBdr>
            <w:top w:val="none" w:sz="0" w:space="0" w:color="auto"/>
            <w:left w:val="none" w:sz="0" w:space="0" w:color="auto"/>
            <w:bottom w:val="none" w:sz="0" w:space="0" w:color="auto"/>
            <w:right w:val="none" w:sz="0" w:space="0" w:color="auto"/>
          </w:divBdr>
        </w:div>
        <w:div w:id="354695774">
          <w:marLeft w:val="0"/>
          <w:marRight w:val="0"/>
          <w:marTop w:val="0"/>
          <w:marBottom w:val="30"/>
          <w:divBdr>
            <w:top w:val="none" w:sz="0" w:space="0" w:color="auto"/>
            <w:left w:val="none" w:sz="0" w:space="0" w:color="auto"/>
            <w:bottom w:val="none" w:sz="0" w:space="0" w:color="auto"/>
            <w:right w:val="none" w:sz="0" w:space="0" w:color="auto"/>
          </w:divBdr>
        </w:div>
        <w:div w:id="1282152410">
          <w:marLeft w:val="0"/>
          <w:marRight w:val="0"/>
          <w:marTop w:val="0"/>
          <w:marBottom w:val="30"/>
          <w:divBdr>
            <w:top w:val="none" w:sz="0" w:space="0" w:color="auto"/>
            <w:left w:val="none" w:sz="0" w:space="0" w:color="auto"/>
            <w:bottom w:val="none" w:sz="0" w:space="0" w:color="auto"/>
            <w:right w:val="none" w:sz="0" w:space="0" w:color="auto"/>
          </w:divBdr>
        </w:div>
        <w:div w:id="353727762">
          <w:marLeft w:val="0"/>
          <w:marRight w:val="0"/>
          <w:marTop w:val="0"/>
          <w:marBottom w:val="30"/>
          <w:divBdr>
            <w:top w:val="none" w:sz="0" w:space="0" w:color="auto"/>
            <w:left w:val="none" w:sz="0" w:space="0" w:color="auto"/>
            <w:bottom w:val="none" w:sz="0" w:space="0" w:color="auto"/>
            <w:right w:val="none" w:sz="0" w:space="0" w:color="auto"/>
          </w:divBdr>
        </w:div>
        <w:div w:id="616638325">
          <w:marLeft w:val="0"/>
          <w:marRight w:val="-2100"/>
          <w:marTop w:val="0"/>
          <w:marBottom w:val="0"/>
          <w:divBdr>
            <w:top w:val="none" w:sz="0" w:space="0" w:color="auto"/>
            <w:left w:val="none" w:sz="0" w:space="0" w:color="auto"/>
            <w:bottom w:val="none" w:sz="0" w:space="0" w:color="auto"/>
            <w:right w:val="none" w:sz="0" w:space="0" w:color="auto"/>
          </w:divBdr>
          <w:divsChild>
            <w:div w:id="1956018857">
              <w:marLeft w:val="0"/>
              <w:marRight w:val="2100"/>
              <w:marTop w:val="0"/>
              <w:marBottom w:val="0"/>
              <w:divBdr>
                <w:top w:val="none" w:sz="0" w:space="0" w:color="auto"/>
                <w:left w:val="none" w:sz="0" w:space="0" w:color="auto"/>
                <w:bottom w:val="none" w:sz="0" w:space="0" w:color="auto"/>
                <w:right w:val="none" w:sz="0" w:space="0" w:color="auto"/>
              </w:divBdr>
              <w:divsChild>
                <w:div w:id="1714185703">
                  <w:marLeft w:val="0"/>
                  <w:marRight w:val="0"/>
                  <w:marTop w:val="0"/>
                  <w:marBottom w:val="360"/>
                  <w:divBdr>
                    <w:top w:val="none" w:sz="0" w:space="0" w:color="auto"/>
                    <w:left w:val="none" w:sz="0" w:space="0" w:color="auto"/>
                    <w:bottom w:val="none" w:sz="0" w:space="0" w:color="auto"/>
                    <w:right w:val="none" w:sz="0" w:space="0" w:color="auto"/>
                  </w:divBdr>
                </w:div>
              </w:divsChild>
            </w:div>
            <w:div w:id="1608999323">
              <w:marLeft w:val="0"/>
              <w:marRight w:val="2100"/>
              <w:marTop w:val="0"/>
              <w:marBottom w:val="0"/>
              <w:divBdr>
                <w:top w:val="none" w:sz="0" w:space="0" w:color="auto"/>
                <w:left w:val="none" w:sz="0" w:space="0" w:color="auto"/>
                <w:bottom w:val="none" w:sz="0" w:space="0" w:color="auto"/>
                <w:right w:val="none" w:sz="0" w:space="0" w:color="auto"/>
              </w:divBdr>
            </w:div>
          </w:divsChild>
        </w:div>
        <w:div w:id="978653900">
          <w:marLeft w:val="0"/>
          <w:marRight w:val="0"/>
          <w:marTop w:val="0"/>
          <w:marBottom w:val="30"/>
          <w:divBdr>
            <w:top w:val="none" w:sz="0" w:space="0" w:color="auto"/>
            <w:left w:val="none" w:sz="0" w:space="0" w:color="auto"/>
            <w:bottom w:val="none" w:sz="0" w:space="0" w:color="auto"/>
            <w:right w:val="none" w:sz="0" w:space="0" w:color="auto"/>
          </w:divBdr>
        </w:div>
        <w:div w:id="1007098659">
          <w:marLeft w:val="0"/>
          <w:marRight w:val="0"/>
          <w:marTop w:val="0"/>
          <w:marBottom w:val="30"/>
          <w:divBdr>
            <w:top w:val="none" w:sz="0" w:space="0" w:color="auto"/>
            <w:left w:val="none" w:sz="0" w:space="0" w:color="auto"/>
            <w:bottom w:val="none" w:sz="0" w:space="0" w:color="auto"/>
            <w:right w:val="none" w:sz="0" w:space="0" w:color="auto"/>
          </w:divBdr>
        </w:div>
        <w:div w:id="599408288">
          <w:marLeft w:val="0"/>
          <w:marRight w:val="0"/>
          <w:marTop w:val="0"/>
          <w:marBottom w:val="30"/>
          <w:divBdr>
            <w:top w:val="none" w:sz="0" w:space="0" w:color="auto"/>
            <w:left w:val="none" w:sz="0" w:space="0" w:color="auto"/>
            <w:bottom w:val="none" w:sz="0" w:space="0" w:color="auto"/>
            <w:right w:val="none" w:sz="0" w:space="0" w:color="auto"/>
          </w:divBdr>
        </w:div>
        <w:div w:id="415246212">
          <w:marLeft w:val="0"/>
          <w:marRight w:val="0"/>
          <w:marTop w:val="0"/>
          <w:marBottom w:val="30"/>
          <w:divBdr>
            <w:top w:val="none" w:sz="0" w:space="0" w:color="auto"/>
            <w:left w:val="none" w:sz="0" w:space="0" w:color="auto"/>
            <w:bottom w:val="none" w:sz="0" w:space="0" w:color="auto"/>
            <w:right w:val="none" w:sz="0" w:space="0" w:color="auto"/>
          </w:divBdr>
        </w:div>
        <w:div w:id="569736591">
          <w:marLeft w:val="0"/>
          <w:marRight w:val="-2100"/>
          <w:marTop w:val="0"/>
          <w:marBottom w:val="0"/>
          <w:divBdr>
            <w:top w:val="none" w:sz="0" w:space="0" w:color="auto"/>
            <w:left w:val="none" w:sz="0" w:space="0" w:color="auto"/>
            <w:bottom w:val="none" w:sz="0" w:space="0" w:color="auto"/>
            <w:right w:val="none" w:sz="0" w:space="0" w:color="auto"/>
          </w:divBdr>
          <w:divsChild>
            <w:div w:id="182785302">
              <w:marLeft w:val="0"/>
              <w:marRight w:val="2100"/>
              <w:marTop w:val="0"/>
              <w:marBottom w:val="0"/>
              <w:divBdr>
                <w:top w:val="none" w:sz="0" w:space="0" w:color="auto"/>
                <w:left w:val="none" w:sz="0" w:space="0" w:color="auto"/>
                <w:bottom w:val="none" w:sz="0" w:space="0" w:color="auto"/>
                <w:right w:val="none" w:sz="0" w:space="0" w:color="auto"/>
              </w:divBdr>
            </w:div>
            <w:div w:id="181435775">
              <w:marLeft w:val="0"/>
              <w:marRight w:val="2100"/>
              <w:marTop w:val="0"/>
              <w:marBottom w:val="0"/>
              <w:divBdr>
                <w:top w:val="none" w:sz="0" w:space="0" w:color="auto"/>
                <w:left w:val="none" w:sz="0" w:space="0" w:color="auto"/>
                <w:bottom w:val="none" w:sz="0" w:space="0" w:color="auto"/>
                <w:right w:val="none" w:sz="0" w:space="0" w:color="auto"/>
              </w:divBdr>
            </w:div>
          </w:divsChild>
        </w:div>
        <w:div w:id="359550183">
          <w:marLeft w:val="0"/>
          <w:marRight w:val="0"/>
          <w:marTop w:val="0"/>
          <w:marBottom w:val="30"/>
          <w:divBdr>
            <w:top w:val="none" w:sz="0" w:space="0" w:color="auto"/>
            <w:left w:val="none" w:sz="0" w:space="0" w:color="auto"/>
            <w:bottom w:val="none" w:sz="0" w:space="0" w:color="auto"/>
            <w:right w:val="none" w:sz="0" w:space="0" w:color="auto"/>
          </w:divBdr>
        </w:div>
        <w:div w:id="1439059088">
          <w:marLeft w:val="0"/>
          <w:marRight w:val="0"/>
          <w:marTop w:val="0"/>
          <w:marBottom w:val="30"/>
          <w:divBdr>
            <w:top w:val="none" w:sz="0" w:space="0" w:color="auto"/>
            <w:left w:val="none" w:sz="0" w:space="0" w:color="auto"/>
            <w:bottom w:val="none" w:sz="0" w:space="0" w:color="auto"/>
            <w:right w:val="none" w:sz="0" w:space="0" w:color="auto"/>
          </w:divBdr>
        </w:div>
        <w:div w:id="1288125759">
          <w:marLeft w:val="0"/>
          <w:marRight w:val="0"/>
          <w:marTop w:val="0"/>
          <w:marBottom w:val="30"/>
          <w:divBdr>
            <w:top w:val="none" w:sz="0" w:space="0" w:color="auto"/>
            <w:left w:val="none" w:sz="0" w:space="0" w:color="auto"/>
            <w:bottom w:val="none" w:sz="0" w:space="0" w:color="auto"/>
            <w:right w:val="none" w:sz="0" w:space="0" w:color="auto"/>
          </w:divBdr>
        </w:div>
        <w:div w:id="786703745">
          <w:marLeft w:val="0"/>
          <w:marRight w:val="0"/>
          <w:marTop w:val="0"/>
          <w:marBottom w:val="30"/>
          <w:divBdr>
            <w:top w:val="none" w:sz="0" w:space="0" w:color="auto"/>
            <w:left w:val="none" w:sz="0" w:space="0" w:color="auto"/>
            <w:bottom w:val="none" w:sz="0" w:space="0" w:color="auto"/>
            <w:right w:val="none" w:sz="0" w:space="0" w:color="auto"/>
          </w:divBdr>
        </w:div>
        <w:div w:id="1565598699">
          <w:marLeft w:val="0"/>
          <w:marRight w:val="-2100"/>
          <w:marTop w:val="0"/>
          <w:marBottom w:val="0"/>
          <w:divBdr>
            <w:top w:val="none" w:sz="0" w:space="0" w:color="auto"/>
            <w:left w:val="none" w:sz="0" w:space="0" w:color="auto"/>
            <w:bottom w:val="none" w:sz="0" w:space="0" w:color="auto"/>
            <w:right w:val="none" w:sz="0" w:space="0" w:color="auto"/>
          </w:divBdr>
          <w:divsChild>
            <w:div w:id="1436633397">
              <w:marLeft w:val="0"/>
              <w:marRight w:val="2100"/>
              <w:marTop w:val="0"/>
              <w:marBottom w:val="0"/>
              <w:divBdr>
                <w:top w:val="none" w:sz="0" w:space="0" w:color="auto"/>
                <w:left w:val="none" w:sz="0" w:space="0" w:color="auto"/>
                <w:bottom w:val="none" w:sz="0" w:space="0" w:color="auto"/>
                <w:right w:val="none" w:sz="0" w:space="0" w:color="auto"/>
              </w:divBdr>
            </w:div>
            <w:div w:id="212205630">
              <w:marLeft w:val="0"/>
              <w:marRight w:val="2100"/>
              <w:marTop w:val="0"/>
              <w:marBottom w:val="0"/>
              <w:divBdr>
                <w:top w:val="none" w:sz="0" w:space="0" w:color="auto"/>
                <w:left w:val="none" w:sz="0" w:space="0" w:color="auto"/>
                <w:bottom w:val="none" w:sz="0" w:space="0" w:color="auto"/>
                <w:right w:val="none" w:sz="0" w:space="0" w:color="auto"/>
              </w:divBdr>
            </w:div>
          </w:divsChild>
        </w:div>
        <w:div w:id="1959558225">
          <w:marLeft w:val="0"/>
          <w:marRight w:val="0"/>
          <w:marTop w:val="0"/>
          <w:marBottom w:val="30"/>
          <w:divBdr>
            <w:top w:val="none" w:sz="0" w:space="0" w:color="auto"/>
            <w:left w:val="none" w:sz="0" w:space="0" w:color="auto"/>
            <w:bottom w:val="none" w:sz="0" w:space="0" w:color="auto"/>
            <w:right w:val="none" w:sz="0" w:space="0" w:color="auto"/>
          </w:divBdr>
        </w:div>
        <w:div w:id="1282611289">
          <w:marLeft w:val="0"/>
          <w:marRight w:val="0"/>
          <w:marTop w:val="0"/>
          <w:marBottom w:val="30"/>
          <w:divBdr>
            <w:top w:val="none" w:sz="0" w:space="0" w:color="auto"/>
            <w:left w:val="none" w:sz="0" w:space="0" w:color="auto"/>
            <w:bottom w:val="none" w:sz="0" w:space="0" w:color="auto"/>
            <w:right w:val="none" w:sz="0" w:space="0" w:color="auto"/>
          </w:divBdr>
        </w:div>
        <w:div w:id="724835277">
          <w:marLeft w:val="0"/>
          <w:marRight w:val="0"/>
          <w:marTop w:val="0"/>
          <w:marBottom w:val="30"/>
          <w:divBdr>
            <w:top w:val="none" w:sz="0" w:space="0" w:color="auto"/>
            <w:left w:val="none" w:sz="0" w:space="0" w:color="auto"/>
            <w:bottom w:val="none" w:sz="0" w:space="0" w:color="auto"/>
            <w:right w:val="none" w:sz="0" w:space="0" w:color="auto"/>
          </w:divBdr>
        </w:div>
        <w:div w:id="672878328">
          <w:marLeft w:val="0"/>
          <w:marRight w:val="0"/>
          <w:marTop w:val="0"/>
          <w:marBottom w:val="30"/>
          <w:divBdr>
            <w:top w:val="none" w:sz="0" w:space="0" w:color="auto"/>
            <w:left w:val="none" w:sz="0" w:space="0" w:color="auto"/>
            <w:bottom w:val="none" w:sz="0" w:space="0" w:color="auto"/>
            <w:right w:val="none" w:sz="0" w:space="0" w:color="auto"/>
          </w:divBdr>
        </w:div>
        <w:div w:id="1599479774">
          <w:marLeft w:val="0"/>
          <w:marRight w:val="-2100"/>
          <w:marTop w:val="0"/>
          <w:marBottom w:val="0"/>
          <w:divBdr>
            <w:top w:val="none" w:sz="0" w:space="0" w:color="auto"/>
            <w:left w:val="none" w:sz="0" w:space="0" w:color="auto"/>
            <w:bottom w:val="none" w:sz="0" w:space="0" w:color="auto"/>
            <w:right w:val="none" w:sz="0" w:space="0" w:color="auto"/>
          </w:divBdr>
          <w:divsChild>
            <w:div w:id="120810688">
              <w:marLeft w:val="0"/>
              <w:marRight w:val="2100"/>
              <w:marTop w:val="0"/>
              <w:marBottom w:val="0"/>
              <w:divBdr>
                <w:top w:val="none" w:sz="0" w:space="0" w:color="auto"/>
                <w:left w:val="none" w:sz="0" w:space="0" w:color="auto"/>
                <w:bottom w:val="none" w:sz="0" w:space="0" w:color="auto"/>
                <w:right w:val="none" w:sz="0" w:space="0" w:color="auto"/>
              </w:divBdr>
              <w:divsChild>
                <w:div w:id="677972172">
                  <w:marLeft w:val="0"/>
                  <w:marRight w:val="360"/>
                  <w:marTop w:val="0"/>
                  <w:marBottom w:val="360"/>
                  <w:divBdr>
                    <w:top w:val="none" w:sz="0" w:space="0" w:color="auto"/>
                    <w:left w:val="none" w:sz="0" w:space="0" w:color="auto"/>
                    <w:bottom w:val="none" w:sz="0" w:space="0" w:color="auto"/>
                    <w:right w:val="none" w:sz="0" w:space="0" w:color="auto"/>
                  </w:divBdr>
                </w:div>
              </w:divsChild>
            </w:div>
            <w:div w:id="423770872">
              <w:marLeft w:val="0"/>
              <w:marRight w:val="2100"/>
              <w:marTop w:val="0"/>
              <w:marBottom w:val="0"/>
              <w:divBdr>
                <w:top w:val="none" w:sz="0" w:space="0" w:color="auto"/>
                <w:left w:val="none" w:sz="0" w:space="0" w:color="auto"/>
                <w:bottom w:val="none" w:sz="0" w:space="0" w:color="auto"/>
                <w:right w:val="none" w:sz="0" w:space="0" w:color="auto"/>
              </w:divBdr>
            </w:div>
          </w:divsChild>
        </w:div>
        <w:div w:id="228274859">
          <w:marLeft w:val="0"/>
          <w:marRight w:val="0"/>
          <w:marTop w:val="0"/>
          <w:marBottom w:val="30"/>
          <w:divBdr>
            <w:top w:val="none" w:sz="0" w:space="0" w:color="auto"/>
            <w:left w:val="none" w:sz="0" w:space="0" w:color="auto"/>
            <w:bottom w:val="none" w:sz="0" w:space="0" w:color="auto"/>
            <w:right w:val="none" w:sz="0" w:space="0" w:color="auto"/>
          </w:divBdr>
        </w:div>
        <w:div w:id="1522938051">
          <w:marLeft w:val="0"/>
          <w:marRight w:val="0"/>
          <w:marTop w:val="0"/>
          <w:marBottom w:val="30"/>
          <w:divBdr>
            <w:top w:val="none" w:sz="0" w:space="0" w:color="auto"/>
            <w:left w:val="none" w:sz="0" w:space="0" w:color="auto"/>
            <w:bottom w:val="none" w:sz="0" w:space="0" w:color="auto"/>
            <w:right w:val="none" w:sz="0" w:space="0" w:color="auto"/>
          </w:divBdr>
        </w:div>
        <w:div w:id="1028141705">
          <w:marLeft w:val="0"/>
          <w:marRight w:val="0"/>
          <w:marTop w:val="0"/>
          <w:marBottom w:val="30"/>
          <w:divBdr>
            <w:top w:val="none" w:sz="0" w:space="0" w:color="auto"/>
            <w:left w:val="none" w:sz="0" w:space="0" w:color="auto"/>
            <w:bottom w:val="none" w:sz="0" w:space="0" w:color="auto"/>
            <w:right w:val="none" w:sz="0" w:space="0" w:color="auto"/>
          </w:divBdr>
        </w:div>
        <w:div w:id="1441609637">
          <w:marLeft w:val="0"/>
          <w:marRight w:val="0"/>
          <w:marTop w:val="0"/>
          <w:marBottom w:val="30"/>
          <w:divBdr>
            <w:top w:val="none" w:sz="0" w:space="0" w:color="auto"/>
            <w:left w:val="none" w:sz="0" w:space="0" w:color="auto"/>
            <w:bottom w:val="none" w:sz="0" w:space="0" w:color="auto"/>
            <w:right w:val="none" w:sz="0" w:space="0" w:color="auto"/>
          </w:divBdr>
        </w:div>
        <w:div w:id="1096707667">
          <w:marLeft w:val="0"/>
          <w:marRight w:val="-2100"/>
          <w:marTop w:val="0"/>
          <w:marBottom w:val="0"/>
          <w:divBdr>
            <w:top w:val="none" w:sz="0" w:space="0" w:color="auto"/>
            <w:left w:val="none" w:sz="0" w:space="0" w:color="auto"/>
            <w:bottom w:val="none" w:sz="0" w:space="0" w:color="auto"/>
            <w:right w:val="none" w:sz="0" w:space="0" w:color="auto"/>
          </w:divBdr>
          <w:divsChild>
            <w:div w:id="2067409712">
              <w:marLeft w:val="0"/>
              <w:marRight w:val="2100"/>
              <w:marTop w:val="0"/>
              <w:marBottom w:val="0"/>
              <w:divBdr>
                <w:top w:val="none" w:sz="0" w:space="0" w:color="auto"/>
                <w:left w:val="none" w:sz="0" w:space="0" w:color="auto"/>
                <w:bottom w:val="none" w:sz="0" w:space="0" w:color="auto"/>
                <w:right w:val="none" w:sz="0" w:space="0" w:color="auto"/>
              </w:divBdr>
              <w:divsChild>
                <w:div w:id="985475595">
                  <w:marLeft w:val="0"/>
                  <w:marRight w:val="0"/>
                  <w:marTop w:val="0"/>
                  <w:marBottom w:val="360"/>
                  <w:divBdr>
                    <w:top w:val="none" w:sz="0" w:space="0" w:color="auto"/>
                    <w:left w:val="none" w:sz="0" w:space="0" w:color="auto"/>
                    <w:bottom w:val="none" w:sz="0" w:space="0" w:color="auto"/>
                    <w:right w:val="none" w:sz="0" w:space="0" w:color="auto"/>
                  </w:divBdr>
                </w:div>
              </w:divsChild>
            </w:div>
            <w:div w:id="1895433411">
              <w:marLeft w:val="0"/>
              <w:marRight w:val="2100"/>
              <w:marTop w:val="0"/>
              <w:marBottom w:val="0"/>
              <w:divBdr>
                <w:top w:val="none" w:sz="0" w:space="0" w:color="auto"/>
                <w:left w:val="none" w:sz="0" w:space="0" w:color="auto"/>
                <w:bottom w:val="none" w:sz="0" w:space="0" w:color="auto"/>
                <w:right w:val="none" w:sz="0" w:space="0" w:color="auto"/>
              </w:divBdr>
            </w:div>
          </w:divsChild>
        </w:div>
      </w:divsChild>
    </w:div>
    <w:div w:id="409423680">
      <w:bodyDiv w:val="1"/>
      <w:marLeft w:val="0"/>
      <w:marRight w:val="0"/>
      <w:marTop w:val="0"/>
      <w:marBottom w:val="0"/>
      <w:divBdr>
        <w:top w:val="none" w:sz="0" w:space="0" w:color="auto"/>
        <w:left w:val="none" w:sz="0" w:space="0" w:color="auto"/>
        <w:bottom w:val="none" w:sz="0" w:space="0" w:color="auto"/>
        <w:right w:val="none" w:sz="0" w:space="0" w:color="auto"/>
      </w:divBdr>
    </w:div>
    <w:div w:id="418647822">
      <w:bodyDiv w:val="1"/>
      <w:marLeft w:val="0"/>
      <w:marRight w:val="0"/>
      <w:marTop w:val="0"/>
      <w:marBottom w:val="0"/>
      <w:divBdr>
        <w:top w:val="none" w:sz="0" w:space="0" w:color="auto"/>
        <w:left w:val="none" w:sz="0" w:space="0" w:color="auto"/>
        <w:bottom w:val="none" w:sz="0" w:space="0" w:color="auto"/>
        <w:right w:val="none" w:sz="0" w:space="0" w:color="auto"/>
      </w:divBdr>
    </w:div>
    <w:div w:id="421335104">
      <w:bodyDiv w:val="1"/>
      <w:marLeft w:val="0"/>
      <w:marRight w:val="0"/>
      <w:marTop w:val="0"/>
      <w:marBottom w:val="0"/>
      <w:divBdr>
        <w:top w:val="none" w:sz="0" w:space="0" w:color="auto"/>
        <w:left w:val="none" w:sz="0" w:space="0" w:color="auto"/>
        <w:bottom w:val="none" w:sz="0" w:space="0" w:color="auto"/>
        <w:right w:val="none" w:sz="0" w:space="0" w:color="auto"/>
      </w:divBdr>
    </w:div>
    <w:div w:id="430053480">
      <w:bodyDiv w:val="1"/>
      <w:marLeft w:val="0"/>
      <w:marRight w:val="0"/>
      <w:marTop w:val="0"/>
      <w:marBottom w:val="0"/>
      <w:divBdr>
        <w:top w:val="none" w:sz="0" w:space="0" w:color="auto"/>
        <w:left w:val="none" w:sz="0" w:space="0" w:color="auto"/>
        <w:bottom w:val="none" w:sz="0" w:space="0" w:color="auto"/>
        <w:right w:val="none" w:sz="0" w:space="0" w:color="auto"/>
      </w:divBdr>
      <w:divsChild>
        <w:div w:id="2006853689">
          <w:marLeft w:val="0"/>
          <w:marRight w:val="0"/>
          <w:marTop w:val="0"/>
          <w:marBottom w:val="0"/>
          <w:divBdr>
            <w:top w:val="none" w:sz="0" w:space="0" w:color="auto"/>
            <w:left w:val="none" w:sz="0" w:space="0" w:color="auto"/>
            <w:bottom w:val="none" w:sz="0" w:space="0" w:color="auto"/>
            <w:right w:val="none" w:sz="0" w:space="0" w:color="auto"/>
          </w:divBdr>
        </w:div>
      </w:divsChild>
    </w:div>
    <w:div w:id="444469753">
      <w:bodyDiv w:val="1"/>
      <w:marLeft w:val="0"/>
      <w:marRight w:val="0"/>
      <w:marTop w:val="0"/>
      <w:marBottom w:val="0"/>
      <w:divBdr>
        <w:top w:val="none" w:sz="0" w:space="0" w:color="auto"/>
        <w:left w:val="none" w:sz="0" w:space="0" w:color="auto"/>
        <w:bottom w:val="none" w:sz="0" w:space="0" w:color="auto"/>
        <w:right w:val="none" w:sz="0" w:space="0" w:color="auto"/>
      </w:divBdr>
      <w:divsChild>
        <w:div w:id="858666677">
          <w:marLeft w:val="0"/>
          <w:marRight w:val="0"/>
          <w:marTop w:val="150"/>
          <w:marBottom w:val="270"/>
          <w:divBdr>
            <w:top w:val="none" w:sz="0" w:space="0" w:color="auto"/>
            <w:left w:val="none" w:sz="0" w:space="0" w:color="auto"/>
            <w:bottom w:val="none" w:sz="0" w:space="0" w:color="auto"/>
            <w:right w:val="none" w:sz="0" w:space="0" w:color="auto"/>
          </w:divBdr>
        </w:div>
        <w:div w:id="1430152334">
          <w:marLeft w:val="0"/>
          <w:marRight w:val="0"/>
          <w:marTop w:val="150"/>
          <w:marBottom w:val="270"/>
          <w:divBdr>
            <w:top w:val="none" w:sz="0" w:space="0" w:color="auto"/>
            <w:left w:val="none" w:sz="0" w:space="0" w:color="auto"/>
            <w:bottom w:val="none" w:sz="0" w:space="0" w:color="auto"/>
            <w:right w:val="none" w:sz="0" w:space="0" w:color="auto"/>
          </w:divBdr>
        </w:div>
        <w:div w:id="1155872405">
          <w:marLeft w:val="0"/>
          <w:marRight w:val="0"/>
          <w:marTop w:val="150"/>
          <w:marBottom w:val="270"/>
          <w:divBdr>
            <w:top w:val="none" w:sz="0" w:space="0" w:color="auto"/>
            <w:left w:val="none" w:sz="0" w:space="0" w:color="auto"/>
            <w:bottom w:val="none" w:sz="0" w:space="0" w:color="auto"/>
            <w:right w:val="none" w:sz="0" w:space="0" w:color="auto"/>
          </w:divBdr>
        </w:div>
        <w:div w:id="2030570721">
          <w:marLeft w:val="0"/>
          <w:marRight w:val="0"/>
          <w:marTop w:val="150"/>
          <w:marBottom w:val="270"/>
          <w:divBdr>
            <w:top w:val="none" w:sz="0" w:space="0" w:color="auto"/>
            <w:left w:val="none" w:sz="0" w:space="0" w:color="auto"/>
            <w:bottom w:val="none" w:sz="0" w:space="0" w:color="auto"/>
            <w:right w:val="none" w:sz="0" w:space="0" w:color="auto"/>
          </w:divBdr>
        </w:div>
      </w:divsChild>
    </w:div>
    <w:div w:id="445467608">
      <w:bodyDiv w:val="1"/>
      <w:marLeft w:val="0"/>
      <w:marRight w:val="0"/>
      <w:marTop w:val="0"/>
      <w:marBottom w:val="0"/>
      <w:divBdr>
        <w:top w:val="none" w:sz="0" w:space="0" w:color="auto"/>
        <w:left w:val="none" w:sz="0" w:space="0" w:color="auto"/>
        <w:bottom w:val="none" w:sz="0" w:space="0" w:color="auto"/>
        <w:right w:val="none" w:sz="0" w:space="0" w:color="auto"/>
      </w:divBdr>
      <w:divsChild>
        <w:div w:id="269627116">
          <w:marLeft w:val="0"/>
          <w:marRight w:val="0"/>
          <w:marTop w:val="0"/>
          <w:marBottom w:val="0"/>
          <w:divBdr>
            <w:top w:val="none" w:sz="0" w:space="0" w:color="auto"/>
            <w:left w:val="none" w:sz="0" w:space="0" w:color="auto"/>
            <w:bottom w:val="none" w:sz="0" w:space="0" w:color="auto"/>
            <w:right w:val="none" w:sz="0" w:space="0" w:color="auto"/>
          </w:divBdr>
        </w:div>
        <w:div w:id="626818453">
          <w:marLeft w:val="0"/>
          <w:marRight w:val="0"/>
          <w:marTop w:val="0"/>
          <w:marBottom w:val="0"/>
          <w:divBdr>
            <w:top w:val="none" w:sz="0" w:space="0" w:color="auto"/>
            <w:left w:val="none" w:sz="0" w:space="0" w:color="auto"/>
            <w:bottom w:val="none" w:sz="0" w:space="0" w:color="auto"/>
            <w:right w:val="none" w:sz="0" w:space="0" w:color="auto"/>
          </w:divBdr>
        </w:div>
        <w:div w:id="1807579965">
          <w:marLeft w:val="0"/>
          <w:marRight w:val="0"/>
          <w:marTop w:val="0"/>
          <w:marBottom w:val="0"/>
          <w:divBdr>
            <w:top w:val="none" w:sz="0" w:space="0" w:color="auto"/>
            <w:left w:val="none" w:sz="0" w:space="0" w:color="auto"/>
            <w:bottom w:val="none" w:sz="0" w:space="0" w:color="auto"/>
            <w:right w:val="none" w:sz="0" w:space="0" w:color="auto"/>
          </w:divBdr>
        </w:div>
        <w:div w:id="1904681411">
          <w:marLeft w:val="0"/>
          <w:marRight w:val="0"/>
          <w:marTop w:val="0"/>
          <w:marBottom w:val="0"/>
          <w:divBdr>
            <w:top w:val="none" w:sz="0" w:space="0" w:color="auto"/>
            <w:left w:val="none" w:sz="0" w:space="0" w:color="auto"/>
            <w:bottom w:val="none" w:sz="0" w:space="0" w:color="auto"/>
            <w:right w:val="none" w:sz="0" w:space="0" w:color="auto"/>
          </w:divBdr>
        </w:div>
        <w:div w:id="986204857">
          <w:marLeft w:val="0"/>
          <w:marRight w:val="0"/>
          <w:marTop w:val="0"/>
          <w:marBottom w:val="0"/>
          <w:divBdr>
            <w:top w:val="none" w:sz="0" w:space="0" w:color="auto"/>
            <w:left w:val="none" w:sz="0" w:space="0" w:color="auto"/>
            <w:bottom w:val="none" w:sz="0" w:space="0" w:color="auto"/>
            <w:right w:val="none" w:sz="0" w:space="0" w:color="auto"/>
          </w:divBdr>
        </w:div>
        <w:div w:id="962418065">
          <w:marLeft w:val="0"/>
          <w:marRight w:val="0"/>
          <w:marTop w:val="0"/>
          <w:marBottom w:val="0"/>
          <w:divBdr>
            <w:top w:val="none" w:sz="0" w:space="0" w:color="auto"/>
            <w:left w:val="none" w:sz="0" w:space="0" w:color="auto"/>
            <w:bottom w:val="none" w:sz="0" w:space="0" w:color="auto"/>
            <w:right w:val="none" w:sz="0" w:space="0" w:color="auto"/>
          </w:divBdr>
        </w:div>
        <w:div w:id="1059014084">
          <w:marLeft w:val="0"/>
          <w:marRight w:val="0"/>
          <w:marTop w:val="0"/>
          <w:marBottom w:val="0"/>
          <w:divBdr>
            <w:top w:val="none" w:sz="0" w:space="0" w:color="auto"/>
            <w:left w:val="none" w:sz="0" w:space="0" w:color="auto"/>
            <w:bottom w:val="none" w:sz="0" w:space="0" w:color="auto"/>
            <w:right w:val="none" w:sz="0" w:space="0" w:color="auto"/>
          </w:divBdr>
        </w:div>
      </w:divsChild>
    </w:div>
    <w:div w:id="449206629">
      <w:bodyDiv w:val="1"/>
      <w:marLeft w:val="0"/>
      <w:marRight w:val="0"/>
      <w:marTop w:val="0"/>
      <w:marBottom w:val="0"/>
      <w:divBdr>
        <w:top w:val="none" w:sz="0" w:space="0" w:color="auto"/>
        <w:left w:val="none" w:sz="0" w:space="0" w:color="auto"/>
        <w:bottom w:val="none" w:sz="0" w:space="0" w:color="auto"/>
        <w:right w:val="none" w:sz="0" w:space="0" w:color="auto"/>
      </w:divBdr>
      <w:divsChild>
        <w:div w:id="1346515593">
          <w:marLeft w:val="0"/>
          <w:marRight w:val="0"/>
          <w:marTop w:val="0"/>
          <w:marBottom w:val="0"/>
          <w:divBdr>
            <w:top w:val="none" w:sz="0" w:space="0" w:color="auto"/>
            <w:left w:val="none" w:sz="0" w:space="0" w:color="auto"/>
            <w:bottom w:val="none" w:sz="0" w:space="0" w:color="auto"/>
            <w:right w:val="none" w:sz="0" w:space="0" w:color="auto"/>
          </w:divBdr>
          <w:divsChild>
            <w:div w:id="311057390">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452094405">
      <w:bodyDiv w:val="1"/>
      <w:marLeft w:val="0"/>
      <w:marRight w:val="0"/>
      <w:marTop w:val="0"/>
      <w:marBottom w:val="0"/>
      <w:divBdr>
        <w:top w:val="none" w:sz="0" w:space="0" w:color="auto"/>
        <w:left w:val="none" w:sz="0" w:space="0" w:color="auto"/>
        <w:bottom w:val="none" w:sz="0" w:space="0" w:color="auto"/>
        <w:right w:val="none" w:sz="0" w:space="0" w:color="auto"/>
      </w:divBdr>
    </w:div>
    <w:div w:id="460537052">
      <w:bodyDiv w:val="1"/>
      <w:marLeft w:val="0"/>
      <w:marRight w:val="0"/>
      <w:marTop w:val="0"/>
      <w:marBottom w:val="0"/>
      <w:divBdr>
        <w:top w:val="none" w:sz="0" w:space="0" w:color="auto"/>
        <w:left w:val="none" w:sz="0" w:space="0" w:color="auto"/>
        <w:bottom w:val="none" w:sz="0" w:space="0" w:color="auto"/>
        <w:right w:val="none" w:sz="0" w:space="0" w:color="auto"/>
      </w:divBdr>
    </w:div>
    <w:div w:id="476193767">
      <w:bodyDiv w:val="1"/>
      <w:marLeft w:val="0"/>
      <w:marRight w:val="0"/>
      <w:marTop w:val="0"/>
      <w:marBottom w:val="0"/>
      <w:divBdr>
        <w:top w:val="none" w:sz="0" w:space="0" w:color="auto"/>
        <w:left w:val="none" w:sz="0" w:space="0" w:color="auto"/>
        <w:bottom w:val="none" w:sz="0" w:space="0" w:color="auto"/>
        <w:right w:val="none" w:sz="0" w:space="0" w:color="auto"/>
      </w:divBdr>
    </w:div>
    <w:div w:id="498352758">
      <w:bodyDiv w:val="1"/>
      <w:marLeft w:val="0"/>
      <w:marRight w:val="0"/>
      <w:marTop w:val="0"/>
      <w:marBottom w:val="0"/>
      <w:divBdr>
        <w:top w:val="none" w:sz="0" w:space="0" w:color="auto"/>
        <w:left w:val="none" w:sz="0" w:space="0" w:color="auto"/>
        <w:bottom w:val="none" w:sz="0" w:space="0" w:color="auto"/>
        <w:right w:val="none" w:sz="0" w:space="0" w:color="auto"/>
      </w:divBdr>
    </w:div>
    <w:div w:id="500777474">
      <w:bodyDiv w:val="1"/>
      <w:marLeft w:val="0"/>
      <w:marRight w:val="0"/>
      <w:marTop w:val="0"/>
      <w:marBottom w:val="0"/>
      <w:divBdr>
        <w:top w:val="none" w:sz="0" w:space="0" w:color="auto"/>
        <w:left w:val="none" w:sz="0" w:space="0" w:color="auto"/>
        <w:bottom w:val="none" w:sz="0" w:space="0" w:color="auto"/>
        <w:right w:val="none" w:sz="0" w:space="0" w:color="auto"/>
      </w:divBdr>
    </w:div>
    <w:div w:id="503592404">
      <w:bodyDiv w:val="1"/>
      <w:marLeft w:val="0"/>
      <w:marRight w:val="0"/>
      <w:marTop w:val="0"/>
      <w:marBottom w:val="0"/>
      <w:divBdr>
        <w:top w:val="none" w:sz="0" w:space="0" w:color="auto"/>
        <w:left w:val="none" w:sz="0" w:space="0" w:color="auto"/>
        <w:bottom w:val="none" w:sz="0" w:space="0" w:color="auto"/>
        <w:right w:val="none" w:sz="0" w:space="0" w:color="auto"/>
      </w:divBdr>
    </w:div>
    <w:div w:id="545603265">
      <w:bodyDiv w:val="1"/>
      <w:marLeft w:val="0"/>
      <w:marRight w:val="0"/>
      <w:marTop w:val="0"/>
      <w:marBottom w:val="0"/>
      <w:divBdr>
        <w:top w:val="none" w:sz="0" w:space="0" w:color="auto"/>
        <w:left w:val="none" w:sz="0" w:space="0" w:color="auto"/>
        <w:bottom w:val="none" w:sz="0" w:space="0" w:color="auto"/>
        <w:right w:val="none" w:sz="0" w:space="0" w:color="auto"/>
      </w:divBdr>
    </w:div>
    <w:div w:id="546992142">
      <w:bodyDiv w:val="1"/>
      <w:marLeft w:val="0"/>
      <w:marRight w:val="0"/>
      <w:marTop w:val="0"/>
      <w:marBottom w:val="0"/>
      <w:divBdr>
        <w:top w:val="none" w:sz="0" w:space="0" w:color="auto"/>
        <w:left w:val="none" w:sz="0" w:space="0" w:color="auto"/>
        <w:bottom w:val="none" w:sz="0" w:space="0" w:color="auto"/>
        <w:right w:val="none" w:sz="0" w:space="0" w:color="auto"/>
      </w:divBdr>
    </w:div>
    <w:div w:id="547835155">
      <w:bodyDiv w:val="1"/>
      <w:marLeft w:val="0"/>
      <w:marRight w:val="0"/>
      <w:marTop w:val="0"/>
      <w:marBottom w:val="0"/>
      <w:divBdr>
        <w:top w:val="none" w:sz="0" w:space="0" w:color="auto"/>
        <w:left w:val="none" w:sz="0" w:space="0" w:color="auto"/>
        <w:bottom w:val="none" w:sz="0" w:space="0" w:color="auto"/>
        <w:right w:val="none" w:sz="0" w:space="0" w:color="auto"/>
      </w:divBdr>
    </w:div>
    <w:div w:id="564071157">
      <w:bodyDiv w:val="1"/>
      <w:marLeft w:val="0"/>
      <w:marRight w:val="0"/>
      <w:marTop w:val="0"/>
      <w:marBottom w:val="0"/>
      <w:divBdr>
        <w:top w:val="none" w:sz="0" w:space="0" w:color="auto"/>
        <w:left w:val="none" w:sz="0" w:space="0" w:color="auto"/>
        <w:bottom w:val="none" w:sz="0" w:space="0" w:color="auto"/>
        <w:right w:val="none" w:sz="0" w:space="0" w:color="auto"/>
      </w:divBdr>
    </w:div>
    <w:div w:id="574320793">
      <w:bodyDiv w:val="1"/>
      <w:marLeft w:val="0"/>
      <w:marRight w:val="0"/>
      <w:marTop w:val="0"/>
      <w:marBottom w:val="0"/>
      <w:divBdr>
        <w:top w:val="none" w:sz="0" w:space="0" w:color="auto"/>
        <w:left w:val="none" w:sz="0" w:space="0" w:color="auto"/>
        <w:bottom w:val="none" w:sz="0" w:space="0" w:color="auto"/>
        <w:right w:val="none" w:sz="0" w:space="0" w:color="auto"/>
      </w:divBdr>
    </w:div>
    <w:div w:id="575282560">
      <w:bodyDiv w:val="1"/>
      <w:marLeft w:val="0"/>
      <w:marRight w:val="0"/>
      <w:marTop w:val="0"/>
      <w:marBottom w:val="0"/>
      <w:divBdr>
        <w:top w:val="none" w:sz="0" w:space="0" w:color="auto"/>
        <w:left w:val="none" w:sz="0" w:space="0" w:color="auto"/>
        <w:bottom w:val="none" w:sz="0" w:space="0" w:color="auto"/>
        <w:right w:val="none" w:sz="0" w:space="0" w:color="auto"/>
      </w:divBdr>
    </w:div>
    <w:div w:id="586811550">
      <w:bodyDiv w:val="1"/>
      <w:marLeft w:val="0"/>
      <w:marRight w:val="0"/>
      <w:marTop w:val="0"/>
      <w:marBottom w:val="0"/>
      <w:divBdr>
        <w:top w:val="none" w:sz="0" w:space="0" w:color="auto"/>
        <w:left w:val="none" w:sz="0" w:space="0" w:color="auto"/>
        <w:bottom w:val="none" w:sz="0" w:space="0" w:color="auto"/>
        <w:right w:val="none" w:sz="0" w:space="0" w:color="auto"/>
      </w:divBdr>
      <w:divsChild>
        <w:div w:id="743794623">
          <w:marLeft w:val="0"/>
          <w:marRight w:val="417"/>
          <w:marTop w:val="0"/>
          <w:marBottom w:val="0"/>
          <w:divBdr>
            <w:top w:val="none" w:sz="0" w:space="0" w:color="auto"/>
            <w:left w:val="none" w:sz="0" w:space="0" w:color="auto"/>
            <w:bottom w:val="none" w:sz="0" w:space="0" w:color="auto"/>
            <w:right w:val="none" w:sz="0" w:space="0" w:color="auto"/>
          </w:divBdr>
        </w:div>
      </w:divsChild>
    </w:div>
    <w:div w:id="590701620">
      <w:bodyDiv w:val="1"/>
      <w:marLeft w:val="0"/>
      <w:marRight w:val="0"/>
      <w:marTop w:val="0"/>
      <w:marBottom w:val="0"/>
      <w:divBdr>
        <w:top w:val="none" w:sz="0" w:space="0" w:color="auto"/>
        <w:left w:val="none" w:sz="0" w:space="0" w:color="auto"/>
        <w:bottom w:val="none" w:sz="0" w:space="0" w:color="auto"/>
        <w:right w:val="none" w:sz="0" w:space="0" w:color="auto"/>
      </w:divBdr>
    </w:div>
    <w:div w:id="596212162">
      <w:bodyDiv w:val="1"/>
      <w:marLeft w:val="0"/>
      <w:marRight w:val="0"/>
      <w:marTop w:val="0"/>
      <w:marBottom w:val="0"/>
      <w:divBdr>
        <w:top w:val="none" w:sz="0" w:space="0" w:color="auto"/>
        <w:left w:val="none" w:sz="0" w:space="0" w:color="auto"/>
        <w:bottom w:val="none" w:sz="0" w:space="0" w:color="auto"/>
        <w:right w:val="none" w:sz="0" w:space="0" w:color="auto"/>
      </w:divBdr>
    </w:div>
    <w:div w:id="607781405">
      <w:bodyDiv w:val="1"/>
      <w:marLeft w:val="0"/>
      <w:marRight w:val="0"/>
      <w:marTop w:val="0"/>
      <w:marBottom w:val="0"/>
      <w:divBdr>
        <w:top w:val="none" w:sz="0" w:space="0" w:color="auto"/>
        <w:left w:val="none" w:sz="0" w:space="0" w:color="auto"/>
        <w:bottom w:val="none" w:sz="0" w:space="0" w:color="auto"/>
        <w:right w:val="none" w:sz="0" w:space="0" w:color="auto"/>
      </w:divBdr>
    </w:div>
    <w:div w:id="626206078">
      <w:bodyDiv w:val="1"/>
      <w:marLeft w:val="0"/>
      <w:marRight w:val="0"/>
      <w:marTop w:val="0"/>
      <w:marBottom w:val="0"/>
      <w:divBdr>
        <w:top w:val="none" w:sz="0" w:space="0" w:color="auto"/>
        <w:left w:val="none" w:sz="0" w:space="0" w:color="auto"/>
        <w:bottom w:val="none" w:sz="0" w:space="0" w:color="auto"/>
        <w:right w:val="none" w:sz="0" w:space="0" w:color="auto"/>
      </w:divBdr>
      <w:divsChild>
        <w:div w:id="89205827">
          <w:marLeft w:val="0"/>
          <w:marRight w:val="0"/>
          <w:marTop w:val="0"/>
          <w:marBottom w:val="0"/>
          <w:divBdr>
            <w:top w:val="none" w:sz="0" w:space="0" w:color="auto"/>
            <w:left w:val="none" w:sz="0" w:space="0" w:color="auto"/>
            <w:bottom w:val="none" w:sz="0" w:space="0" w:color="auto"/>
            <w:right w:val="none" w:sz="0" w:space="0" w:color="auto"/>
          </w:divBdr>
        </w:div>
      </w:divsChild>
    </w:div>
    <w:div w:id="638341919">
      <w:bodyDiv w:val="1"/>
      <w:marLeft w:val="0"/>
      <w:marRight w:val="0"/>
      <w:marTop w:val="0"/>
      <w:marBottom w:val="0"/>
      <w:divBdr>
        <w:top w:val="none" w:sz="0" w:space="0" w:color="auto"/>
        <w:left w:val="none" w:sz="0" w:space="0" w:color="auto"/>
        <w:bottom w:val="none" w:sz="0" w:space="0" w:color="auto"/>
        <w:right w:val="none" w:sz="0" w:space="0" w:color="auto"/>
      </w:divBdr>
    </w:div>
    <w:div w:id="643393078">
      <w:bodyDiv w:val="1"/>
      <w:marLeft w:val="0"/>
      <w:marRight w:val="0"/>
      <w:marTop w:val="0"/>
      <w:marBottom w:val="0"/>
      <w:divBdr>
        <w:top w:val="none" w:sz="0" w:space="0" w:color="auto"/>
        <w:left w:val="none" w:sz="0" w:space="0" w:color="auto"/>
        <w:bottom w:val="none" w:sz="0" w:space="0" w:color="auto"/>
        <w:right w:val="none" w:sz="0" w:space="0" w:color="auto"/>
      </w:divBdr>
      <w:divsChild>
        <w:div w:id="958217995">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649284853">
      <w:bodyDiv w:val="1"/>
      <w:marLeft w:val="0"/>
      <w:marRight w:val="0"/>
      <w:marTop w:val="0"/>
      <w:marBottom w:val="0"/>
      <w:divBdr>
        <w:top w:val="none" w:sz="0" w:space="0" w:color="auto"/>
        <w:left w:val="none" w:sz="0" w:space="0" w:color="auto"/>
        <w:bottom w:val="none" w:sz="0" w:space="0" w:color="auto"/>
        <w:right w:val="none" w:sz="0" w:space="0" w:color="auto"/>
      </w:divBdr>
    </w:div>
    <w:div w:id="650058968">
      <w:bodyDiv w:val="1"/>
      <w:marLeft w:val="0"/>
      <w:marRight w:val="0"/>
      <w:marTop w:val="0"/>
      <w:marBottom w:val="0"/>
      <w:divBdr>
        <w:top w:val="none" w:sz="0" w:space="0" w:color="auto"/>
        <w:left w:val="none" w:sz="0" w:space="0" w:color="auto"/>
        <w:bottom w:val="none" w:sz="0" w:space="0" w:color="auto"/>
        <w:right w:val="none" w:sz="0" w:space="0" w:color="auto"/>
      </w:divBdr>
    </w:div>
    <w:div w:id="665018656">
      <w:bodyDiv w:val="1"/>
      <w:marLeft w:val="0"/>
      <w:marRight w:val="0"/>
      <w:marTop w:val="0"/>
      <w:marBottom w:val="0"/>
      <w:divBdr>
        <w:top w:val="none" w:sz="0" w:space="0" w:color="auto"/>
        <w:left w:val="none" w:sz="0" w:space="0" w:color="auto"/>
        <w:bottom w:val="none" w:sz="0" w:space="0" w:color="auto"/>
        <w:right w:val="none" w:sz="0" w:space="0" w:color="auto"/>
      </w:divBdr>
    </w:div>
    <w:div w:id="680207474">
      <w:bodyDiv w:val="1"/>
      <w:marLeft w:val="0"/>
      <w:marRight w:val="0"/>
      <w:marTop w:val="0"/>
      <w:marBottom w:val="0"/>
      <w:divBdr>
        <w:top w:val="none" w:sz="0" w:space="0" w:color="auto"/>
        <w:left w:val="none" w:sz="0" w:space="0" w:color="auto"/>
        <w:bottom w:val="none" w:sz="0" w:space="0" w:color="auto"/>
        <w:right w:val="none" w:sz="0" w:space="0" w:color="auto"/>
      </w:divBdr>
    </w:div>
    <w:div w:id="681511933">
      <w:bodyDiv w:val="1"/>
      <w:marLeft w:val="0"/>
      <w:marRight w:val="0"/>
      <w:marTop w:val="0"/>
      <w:marBottom w:val="0"/>
      <w:divBdr>
        <w:top w:val="none" w:sz="0" w:space="0" w:color="auto"/>
        <w:left w:val="none" w:sz="0" w:space="0" w:color="auto"/>
        <w:bottom w:val="none" w:sz="0" w:space="0" w:color="auto"/>
        <w:right w:val="none" w:sz="0" w:space="0" w:color="auto"/>
      </w:divBdr>
    </w:div>
    <w:div w:id="683634342">
      <w:bodyDiv w:val="1"/>
      <w:marLeft w:val="0"/>
      <w:marRight w:val="0"/>
      <w:marTop w:val="0"/>
      <w:marBottom w:val="0"/>
      <w:divBdr>
        <w:top w:val="none" w:sz="0" w:space="0" w:color="auto"/>
        <w:left w:val="none" w:sz="0" w:space="0" w:color="auto"/>
        <w:bottom w:val="none" w:sz="0" w:space="0" w:color="auto"/>
        <w:right w:val="none" w:sz="0" w:space="0" w:color="auto"/>
      </w:divBdr>
      <w:divsChild>
        <w:div w:id="874078266">
          <w:marLeft w:val="0"/>
          <w:marRight w:val="0"/>
          <w:marTop w:val="0"/>
          <w:marBottom w:val="0"/>
          <w:divBdr>
            <w:top w:val="none" w:sz="0" w:space="0" w:color="auto"/>
            <w:left w:val="none" w:sz="0" w:space="0" w:color="auto"/>
            <w:bottom w:val="none" w:sz="0" w:space="0" w:color="auto"/>
            <w:right w:val="none" w:sz="0" w:space="0" w:color="auto"/>
          </w:divBdr>
        </w:div>
      </w:divsChild>
    </w:div>
    <w:div w:id="683750996">
      <w:bodyDiv w:val="1"/>
      <w:marLeft w:val="0"/>
      <w:marRight w:val="0"/>
      <w:marTop w:val="0"/>
      <w:marBottom w:val="0"/>
      <w:divBdr>
        <w:top w:val="none" w:sz="0" w:space="0" w:color="auto"/>
        <w:left w:val="none" w:sz="0" w:space="0" w:color="auto"/>
        <w:bottom w:val="none" w:sz="0" w:space="0" w:color="auto"/>
        <w:right w:val="none" w:sz="0" w:space="0" w:color="auto"/>
      </w:divBdr>
    </w:div>
    <w:div w:id="687028835">
      <w:bodyDiv w:val="1"/>
      <w:marLeft w:val="0"/>
      <w:marRight w:val="0"/>
      <w:marTop w:val="0"/>
      <w:marBottom w:val="0"/>
      <w:divBdr>
        <w:top w:val="none" w:sz="0" w:space="0" w:color="auto"/>
        <w:left w:val="none" w:sz="0" w:space="0" w:color="auto"/>
        <w:bottom w:val="none" w:sz="0" w:space="0" w:color="auto"/>
        <w:right w:val="none" w:sz="0" w:space="0" w:color="auto"/>
      </w:divBdr>
    </w:div>
    <w:div w:id="692920618">
      <w:bodyDiv w:val="1"/>
      <w:marLeft w:val="0"/>
      <w:marRight w:val="0"/>
      <w:marTop w:val="0"/>
      <w:marBottom w:val="0"/>
      <w:divBdr>
        <w:top w:val="none" w:sz="0" w:space="0" w:color="auto"/>
        <w:left w:val="none" w:sz="0" w:space="0" w:color="auto"/>
        <w:bottom w:val="none" w:sz="0" w:space="0" w:color="auto"/>
        <w:right w:val="none" w:sz="0" w:space="0" w:color="auto"/>
      </w:divBdr>
    </w:div>
    <w:div w:id="709383054">
      <w:bodyDiv w:val="1"/>
      <w:marLeft w:val="0"/>
      <w:marRight w:val="0"/>
      <w:marTop w:val="0"/>
      <w:marBottom w:val="0"/>
      <w:divBdr>
        <w:top w:val="none" w:sz="0" w:space="0" w:color="auto"/>
        <w:left w:val="none" w:sz="0" w:space="0" w:color="auto"/>
        <w:bottom w:val="none" w:sz="0" w:space="0" w:color="auto"/>
        <w:right w:val="none" w:sz="0" w:space="0" w:color="auto"/>
      </w:divBdr>
    </w:div>
    <w:div w:id="710299961">
      <w:bodyDiv w:val="1"/>
      <w:marLeft w:val="0"/>
      <w:marRight w:val="0"/>
      <w:marTop w:val="0"/>
      <w:marBottom w:val="0"/>
      <w:divBdr>
        <w:top w:val="none" w:sz="0" w:space="0" w:color="auto"/>
        <w:left w:val="none" w:sz="0" w:space="0" w:color="auto"/>
        <w:bottom w:val="none" w:sz="0" w:space="0" w:color="auto"/>
        <w:right w:val="none" w:sz="0" w:space="0" w:color="auto"/>
      </w:divBdr>
    </w:div>
    <w:div w:id="710421577">
      <w:bodyDiv w:val="1"/>
      <w:marLeft w:val="0"/>
      <w:marRight w:val="0"/>
      <w:marTop w:val="0"/>
      <w:marBottom w:val="0"/>
      <w:divBdr>
        <w:top w:val="none" w:sz="0" w:space="0" w:color="auto"/>
        <w:left w:val="none" w:sz="0" w:space="0" w:color="auto"/>
        <w:bottom w:val="none" w:sz="0" w:space="0" w:color="auto"/>
        <w:right w:val="none" w:sz="0" w:space="0" w:color="auto"/>
      </w:divBdr>
    </w:div>
    <w:div w:id="722172884">
      <w:bodyDiv w:val="1"/>
      <w:marLeft w:val="0"/>
      <w:marRight w:val="0"/>
      <w:marTop w:val="0"/>
      <w:marBottom w:val="0"/>
      <w:divBdr>
        <w:top w:val="none" w:sz="0" w:space="0" w:color="auto"/>
        <w:left w:val="none" w:sz="0" w:space="0" w:color="auto"/>
        <w:bottom w:val="none" w:sz="0" w:space="0" w:color="auto"/>
        <w:right w:val="none" w:sz="0" w:space="0" w:color="auto"/>
      </w:divBdr>
      <w:divsChild>
        <w:div w:id="1815681881">
          <w:marLeft w:val="0"/>
          <w:marRight w:val="0"/>
          <w:marTop w:val="0"/>
          <w:marBottom w:val="0"/>
          <w:divBdr>
            <w:top w:val="none" w:sz="0" w:space="0" w:color="auto"/>
            <w:left w:val="none" w:sz="0" w:space="0" w:color="auto"/>
            <w:bottom w:val="none" w:sz="0" w:space="0" w:color="auto"/>
            <w:right w:val="none" w:sz="0" w:space="0" w:color="auto"/>
          </w:divBdr>
          <w:divsChild>
            <w:div w:id="441076807">
              <w:marLeft w:val="0"/>
              <w:marRight w:val="0"/>
              <w:marTop w:val="0"/>
              <w:marBottom w:val="0"/>
              <w:divBdr>
                <w:top w:val="none" w:sz="0" w:space="0" w:color="auto"/>
                <w:left w:val="none" w:sz="0" w:space="0" w:color="auto"/>
                <w:bottom w:val="none" w:sz="0" w:space="0" w:color="auto"/>
                <w:right w:val="none" w:sz="0" w:space="0" w:color="auto"/>
              </w:divBdr>
              <w:divsChild>
                <w:div w:id="124281840">
                  <w:marLeft w:val="0"/>
                  <w:marRight w:val="0"/>
                  <w:marTop w:val="0"/>
                  <w:marBottom w:val="0"/>
                  <w:divBdr>
                    <w:top w:val="none" w:sz="0" w:space="0" w:color="auto"/>
                    <w:left w:val="none" w:sz="0" w:space="0" w:color="auto"/>
                    <w:bottom w:val="none" w:sz="0" w:space="0" w:color="auto"/>
                    <w:right w:val="none" w:sz="0" w:space="0" w:color="auto"/>
                  </w:divBdr>
                  <w:divsChild>
                    <w:div w:id="809133070">
                      <w:marLeft w:val="0"/>
                      <w:marRight w:val="0"/>
                      <w:marTop w:val="0"/>
                      <w:marBottom w:val="0"/>
                      <w:divBdr>
                        <w:top w:val="none" w:sz="0" w:space="0" w:color="auto"/>
                        <w:left w:val="none" w:sz="0" w:space="0" w:color="auto"/>
                        <w:bottom w:val="none" w:sz="0" w:space="0" w:color="auto"/>
                        <w:right w:val="none" w:sz="0" w:space="0" w:color="auto"/>
                      </w:divBdr>
                      <w:divsChild>
                        <w:div w:id="1603537041">
                          <w:marLeft w:val="0"/>
                          <w:marRight w:val="0"/>
                          <w:marTop w:val="0"/>
                          <w:marBottom w:val="0"/>
                          <w:divBdr>
                            <w:top w:val="none" w:sz="0" w:space="0" w:color="auto"/>
                            <w:left w:val="none" w:sz="0" w:space="0" w:color="auto"/>
                            <w:bottom w:val="none" w:sz="0" w:space="0" w:color="auto"/>
                            <w:right w:val="none" w:sz="0" w:space="0" w:color="auto"/>
                          </w:divBdr>
                          <w:divsChild>
                            <w:div w:id="1398897568">
                              <w:marLeft w:val="0"/>
                              <w:marRight w:val="0"/>
                              <w:marTop w:val="0"/>
                              <w:marBottom w:val="0"/>
                              <w:divBdr>
                                <w:top w:val="none" w:sz="0" w:space="0" w:color="auto"/>
                                <w:left w:val="none" w:sz="0" w:space="0" w:color="auto"/>
                                <w:bottom w:val="none" w:sz="0" w:space="0" w:color="auto"/>
                                <w:right w:val="none" w:sz="0" w:space="0" w:color="auto"/>
                              </w:divBdr>
                              <w:divsChild>
                                <w:div w:id="609550538">
                                  <w:marLeft w:val="0"/>
                                  <w:marRight w:val="0"/>
                                  <w:marTop w:val="210"/>
                                  <w:marBottom w:val="0"/>
                                  <w:divBdr>
                                    <w:top w:val="none" w:sz="0" w:space="0" w:color="auto"/>
                                    <w:left w:val="none" w:sz="0" w:space="0" w:color="auto"/>
                                    <w:bottom w:val="none" w:sz="0" w:space="0" w:color="auto"/>
                                    <w:right w:val="none" w:sz="0" w:space="0" w:color="auto"/>
                                  </w:divBdr>
                                  <w:divsChild>
                                    <w:div w:id="1155335363">
                                      <w:marLeft w:val="0"/>
                                      <w:marRight w:val="0"/>
                                      <w:marTop w:val="0"/>
                                      <w:marBottom w:val="0"/>
                                      <w:divBdr>
                                        <w:top w:val="none" w:sz="0" w:space="0" w:color="auto"/>
                                        <w:left w:val="none" w:sz="0" w:space="0" w:color="auto"/>
                                        <w:bottom w:val="none" w:sz="0" w:space="0" w:color="auto"/>
                                        <w:right w:val="none" w:sz="0" w:space="0" w:color="auto"/>
                                      </w:divBdr>
                                      <w:divsChild>
                                        <w:div w:id="486751391">
                                          <w:marLeft w:val="-240"/>
                                          <w:marRight w:val="-240"/>
                                          <w:marTop w:val="0"/>
                                          <w:marBottom w:val="0"/>
                                          <w:divBdr>
                                            <w:top w:val="none" w:sz="0" w:space="0" w:color="auto"/>
                                            <w:left w:val="none" w:sz="0" w:space="0" w:color="auto"/>
                                            <w:bottom w:val="none" w:sz="0" w:space="0" w:color="auto"/>
                                            <w:right w:val="none" w:sz="0" w:space="0" w:color="auto"/>
                                          </w:divBdr>
                                          <w:divsChild>
                                            <w:div w:id="1662269665">
                                              <w:marLeft w:val="0"/>
                                              <w:marRight w:val="0"/>
                                              <w:marTop w:val="0"/>
                                              <w:marBottom w:val="0"/>
                                              <w:divBdr>
                                                <w:top w:val="none" w:sz="0" w:space="0" w:color="auto"/>
                                                <w:left w:val="none" w:sz="0" w:space="0" w:color="auto"/>
                                                <w:bottom w:val="none" w:sz="0" w:space="0" w:color="auto"/>
                                                <w:right w:val="none" w:sz="0" w:space="0" w:color="auto"/>
                                              </w:divBdr>
                                              <w:divsChild>
                                                <w:div w:id="136269191">
                                                  <w:marLeft w:val="0"/>
                                                  <w:marRight w:val="0"/>
                                                  <w:marTop w:val="150"/>
                                                  <w:marBottom w:val="270"/>
                                                  <w:divBdr>
                                                    <w:top w:val="none" w:sz="0" w:space="0" w:color="auto"/>
                                                    <w:left w:val="none" w:sz="0" w:space="0" w:color="auto"/>
                                                    <w:bottom w:val="none" w:sz="0" w:space="0" w:color="auto"/>
                                                    <w:right w:val="none" w:sz="0" w:space="0" w:color="auto"/>
                                                  </w:divBdr>
                                                  <w:divsChild>
                                                    <w:div w:id="1610550426">
                                                      <w:marLeft w:val="0"/>
                                                      <w:marRight w:val="0"/>
                                                      <w:marTop w:val="0"/>
                                                      <w:marBottom w:val="0"/>
                                                      <w:divBdr>
                                                        <w:top w:val="none" w:sz="0" w:space="0" w:color="auto"/>
                                                        <w:left w:val="none" w:sz="0" w:space="0" w:color="auto"/>
                                                        <w:bottom w:val="none" w:sz="0" w:space="0" w:color="auto"/>
                                                        <w:right w:val="none" w:sz="0" w:space="0" w:color="auto"/>
                                                      </w:divBdr>
                                                      <w:divsChild>
                                                        <w:div w:id="2104182841">
                                                          <w:marLeft w:val="0"/>
                                                          <w:marRight w:val="0"/>
                                                          <w:marTop w:val="0"/>
                                                          <w:marBottom w:val="0"/>
                                                          <w:divBdr>
                                                            <w:top w:val="none" w:sz="0" w:space="0" w:color="auto"/>
                                                            <w:left w:val="none" w:sz="0" w:space="0" w:color="auto"/>
                                                            <w:bottom w:val="none" w:sz="0" w:space="0" w:color="auto"/>
                                                            <w:right w:val="none" w:sz="0" w:space="0" w:color="auto"/>
                                                          </w:divBdr>
                                                          <w:divsChild>
                                                            <w:div w:id="88896353">
                                                              <w:marLeft w:val="0"/>
                                                              <w:marRight w:val="0"/>
                                                              <w:marTop w:val="0"/>
                                                              <w:marBottom w:val="0"/>
                                                              <w:divBdr>
                                                                <w:top w:val="none" w:sz="0" w:space="0" w:color="auto"/>
                                                                <w:left w:val="none" w:sz="0" w:space="0" w:color="auto"/>
                                                                <w:bottom w:val="none" w:sz="0" w:space="0" w:color="auto"/>
                                                                <w:right w:val="none" w:sz="0" w:space="0" w:color="auto"/>
                                                              </w:divBdr>
                                                              <w:divsChild>
                                                                <w:div w:id="2066563524">
                                                                  <w:marLeft w:val="0"/>
                                                                  <w:marRight w:val="0"/>
                                                                  <w:marTop w:val="0"/>
                                                                  <w:marBottom w:val="0"/>
                                                                  <w:divBdr>
                                                                    <w:top w:val="none" w:sz="0" w:space="0" w:color="auto"/>
                                                                    <w:left w:val="none" w:sz="0" w:space="0" w:color="auto"/>
                                                                    <w:bottom w:val="none" w:sz="0" w:space="0" w:color="auto"/>
                                                                    <w:right w:val="none" w:sz="0" w:space="0" w:color="auto"/>
                                                                  </w:divBdr>
                                                                  <w:divsChild>
                                                                    <w:div w:id="613826107">
                                                                      <w:marLeft w:val="0"/>
                                                                      <w:marRight w:val="0"/>
                                                                      <w:marTop w:val="0"/>
                                                                      <w:marBottom w:val="0"/>
                                                                      <w:divBdr>
                                                                        <w:top w:val="none" w:sz="0" w:space="0" w:color="auto"/>
                                                                        <w:left w:val="none" w:sz="0" w:space="0" w:color="auto"/>
                                                                        <w:bottom w:val="none" w:sz="0" w:space="0" w:color="auto"/>
                                                                        <w:right w:val="none" w:sz="0" w:space="0" w:color="auto"/>
                                                                      </w:divBdr>
                                                                    </w:div>
                                                                  </w:divsChild>
                                                                </w:div>
                                                                <w:div w:id="96666756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26223295">
      <w:bodyDiv w:val="1"/>
      <w:marLeft w:val="0"/>
      <w:marRight w:val="0"/>
      <w:marTop w:val="0"/>
      <w:marBottom w:val="0"/>
      <w:divBdr>
        <w:top w:val="none" w:sz="0" w:space="0" w:color="auto"/>
        <w:left w:val="none" w:sz="0" w:space="0" w:color="auto"/>
        <w:bottom w:val="none" w:sz="0" w:space="0" w:color="auto"/>
        <w:right w:val="none" w:sz="0" w:space="0" w:color="auto"/>
      </w:divBdr>
    </w:div>
    <w:div w:id="735975142">
      <w:bodyDiv w:val="1"/>
      <w:marLeft w:val="0"/>
      <w:marRight w:val="0"/>
      <w:marTop w:val="0"/>
      <w:marBottom w:val="0"/>
      <w:divBdr>
        <w:top w:val="none" w:sz="0" w:space="0" w:color="auto"/>
        <w:left w:val="none" w:sz="0" w:space="0" w:color="auto"/>
        <w:bottom w:val="none" w:sz="0" w:space="0" w:color="auto"/>
        <w:right w:val="none" w:sz="0" w:space="0" w:color="auto"/>
      </w:divBdr>
    </w:div>
    <w:div w:id="750927314">
      <w:bodyDiv w:val="1"/>
      <w:marLeft w:val="0"/>
      <w:marRight w:val="0"/>
      <w:marTop w:val="0"/>
      <w:marBottom w:val="0"/>
      <w:divBdr>
        <w:top w:val="none" w:sz="0" w:space="0" w:color="auto"/>
        <w:left w:val="none" w:sz="0" w:space="0" w:color="auto"/>
        <w:bottom w:val="none" w:sz="0" w:space="0" w:color="auto"/>
        <w:right w:val="none" w:sz="0" w:space="0" w:color="auto"/>
      </w:divBdr>
    </w:div>
    <w:div w:id="754975500">
      <w:bodyDiv w:val="1"/>
      <w:marLeft w:val="0"/>
      <w:marRight w:val="0"/>
      <w:marTop w:val="0"/>
      <w:marBottom w:val="0"/>
      <w:divBdr>
        <w:top w:val="none" w:sz="0" w:space="0" w:color="auto"/>
        <w:left w:val="none" w:sz="0" w:space="0" w:color="auto"/>
        <w:bottom w:val="none" w:sz="0" w:space="0" w:color="auto"/>
        <w:right w:val="none" w:sz="0" w:space="0" w:color="auto"/>
      </w:divBdr>
    </w:div>
    <w:div w:id="756556543">
      <w:bodyDiv w:val="1"/>
      <w:marLeft w:val="0"/>
      <w:marRight w:val="0"/>
      <w:marTop w:val="0"/>
      <w:marBottom w:val="0"/>
      <w:divBdr>
        <w:top w:val="none" w:sz="0" w:space="0" w:color="auto"/>
        <w:left w:val="none" w:sz="0" w:space="0" w:color="auto"/>
        <w:bottom w:val="none" w:sz="0" w:space="0" w:color="auto"/>
        <w:right w:val="none" w:sz="0" w:space="0" w:color="auto"/>
      </w:divBdr>
    </w:div>
    <w:div w:id="757094126">
      <w:bodyDiv w:val="1"/>
      <w:marLeft w:val="0"/>
      <w:marRight w:val="0"/>
      <w:marTop w:val="0"/>
      <w:marBottom w:val="0"/>
      <w:divBdr>
        <w:top w:val="none" w:sz="0" w:space="0" w:color="auto"/>
        <w:left w:val="none" w:sz="0" w:space="0" w:color="auto"/>
        <w:bottom w:val="none" w:sz="0" w:space="0" w:color="auto"/>
        <w:right w:val="none" w:sz="0" w:space="0" w:color="auto"/>
      </w:divBdr>
    </w:div>
    <w:div w:id="780957262">
      <w:bodyDiv w:val="1"/>
      <w:marLeft w:val="0"/>
      <w:marRight w:val="0"/>
      <w:marTop w:val="0"/>
      <w:marBottom w:val="0"/>
      <w:divBdr>
        <w:top w:val="none" w:sz="0" w:space="0" w:color="auto"/>
        <w:left w:val="none" w:sz="0" w:space="0" w:color="auto"/>
        <w:bottom w:val="none" w:sz="0" w:space="0" w:color="auto"/>
        <w:right w:val="none" w:sz="0" w:space="0" w:color="auto"/>
      </w:divBdr>
    </w:div>
    <w:div w:id="787967296">
      <w:bodyDiv w:val="1"/>
      <w:marLeft w:val="0"/>
      <w:marRight w:val="0"/>
      <w:marTop w:val="0"/>
      <w:marBottom w:val="0"/>
      <w:divBdr>
        <w:top w:val="none" w:sz="0" w:space="0" w:color="auto"/>
        <w:left w:val="none" w:sz="0" w:space="0" w:color="auto"/>
        <w:bottom w:val="none" w:sz="0" w:space="0" w:color="auto"/>
        <w:right w:val="none" w:sz="0" w:space="0" w:color="auto"/>
      </w:divBdr>
    </w:div>
    <w:div w:id="788088112">
      <w:bodyDiv w:val="1"/>
      <w:marLeft w:val="0"/>
      <w:marRight w:val="0"/>
      <w:marTop w:val="0"/>
      <w:marBottom w:val="0"/>
      <w:divBdr>
        <w:top w:val="none" w:sz="0" w:space="0" w:color="auto"/>
        <w:left w:val="none" w:sz="0" w:space="0" w:color="auto"/>
        <w:bottom w:val="none" w:sz="0" w:space="0" w:color="auto"/>
        <w:right w:val="none" w:sz="0" w:space="0" w:color="auto"/>
      </w:divBdr>
    </w:div>
    <w:div w:id="796610429">
      <w:bodyDiv w:val="1"/>
      <w:marLeft w:val="0"/>
      <w:marRight w:val="0"/>
      <w:marTop w:val="0"/>
      <w:marBottom w:val="0"/>
      <w:divBdr>
        <w:top w:val="none" w:sz="0" w:space="0" w:color="auto"/>
        <w:left w:val="none" w:sz="0" w:space="0" w:color="auto"/>
        <w:bottom w:val="none" w:sz="0" w:space="0" w:color="auto"/>
        <w:right w:val="none" w:sz="0" w:space="0" w:color="auto"/>
      </w:divBdr>
    </w:div>
    <w:div w:id="798454125">
      <w:bodyDiv w:val="1"/>
      <w:marLeft w:val="0"/>
      <w:marRight w:val="0"/>
      <w:marTop w:val="0"/>
      <w:marBottom w:val="0"/>
      <w:divBdr>
        <w:top w:val="none" w:sz="0" w:space="0" w:color="auto"/>
        <w:left w:val="none" w:sz="0" w:space="0" w:color="auto"/>
        <w:bottom w:val="none" w:sz="0" w:space="0" w:color="auto"/>
        <w:right w:val="none" w:sz="0" w:space="0" w:color="auto"/>
      </w:divBdr>
    </w:div>
    <w:div w:id="798956256">
      <w:bodyDiv w:val="1"/>
      <w:marLeft w:val="0"/>
      <w:marRight w:val="0"/>
      <w:marTop w:val="0"/>
      <w:marBottom w:val="0"/>
      <w:divBdr>
        <w:top w:val="none" w:sz="0" w:space="0" w:color="auto"/>
        <w:left w:val="none" w:sz="0" w:space="0" w:color="auto"/>
        <w:bottom w:val="none" w:sz="0" w:space="0" w:color="auto"/>
        <w:right w:val="none" w:sz="0" w:space="0" w:color="auto"/>
      </w:divBdr>
    </w:div>
    <w:div w:id="807015247">
      <w:bodyDiv w:val="1"/>
      <w:marLeft w:val="0"/>
      <w:marRight w:val="0"/>
      <w:marTop w:val="0"/>
      <w:marBottom w:val="0"/>
      <w:divBdr>
        <w:top w:val="none" w:sz="0" w:space="0" w:color="auto"/>
        <w:left w:val="none" w:sz="0" w:space="0" w:color="auto"/>
        <w:bottom w:val="none" w:sz="0" w:space="0" w:color="auto"/>
        <w:right w:val="none" w:sz="0" w:space="0" w:color="auto"/>
      </w:divBdr>
    </w:div>
    <w:div w:id="807825758">
      <w:bodyDiv w:val="1"/>
      <w:marLeft w:val="0"/>
      <w:marRight w:val="0"/>
      <w:marTop w:val="0"/>
      <w:marBottom w:val="0"/>
      <w:divBdr>
        <w:top w:val="none" w:sz="0" w:space="0" w:color="auto"/>
        <w:left w:val="none" w:sz="0" w:space="0" w:color="auto"/>
        <w:bottom w:val="none" w:sz="0" w:space="0" w:color="auto"/>
        <w:right w:val="none" w:sz="0" w:space="0" w:color="auto"/>
      </w:divBdr>
    </w:div>
    <w:div w:id="818958937">
      <w:bodyDiv w:val="1"/>
      <w:marLeft w:val="0"/>
      <w:marRight w:val="0"/>
      <w:marTop w:val="0"/>
      <w:marBottom w:val="0"/>
      <w:divBdr>
        <w:top w:val="none" w:sz="0" w:space="0" w:color="auto"/>
        <w:left w:val="none" w:sz="0" w:space="0" w:color="auto"/>
        <w:bottom w:val="none" w:sz="0" w:space="0" w:color="auto"/>
        <w:right w:val="none" w:sz="0" w:space="0" w:color="auto"/>
      </w:divBdr>
      <w:divsChild>
        <w:div w:id="192377840">
          <w:marLeft w:val="0"/>
          <w:marRight w:val="0"/>
          <w:marTop w:val="0"/>
          <w:marBottom w:val="0"/>
          <w:divBdr>
            <w:top w:val="none" w:sz="0" w:space="0" w:color="auto"/>
            <w:left w:val="none" w:sz="0" w:space="0" w:color="auto"/>
            <w:bottom w:val="none" w:sz="0" w:space="0" w:color="auto"/>
            <w:right w:val="none" w:sz="0" w:space="0" w:color="auto"/>
          </w:divBdr>
          <w:divsChild>
            <w:div w:id="637494386">
              <w:marLeft w:val="0"/>
              <w:marRight w:val="0"/>
              <w:marTop w:val="0"/>
              <w:marBottom w:val="0"/>
              <w:divBdr>
                <w:top w:val="none" w:sz="0" w:space="0" w:color="auto"/>
                <w:left w:val="none" w:sz="0" w:space="0" w:color="auto"/>
                <w:bottom w:val="none" w:sz="0" w:space="0" w:color="auto"/>
                <w:right w:val="none" w:sz="0" w:space="0" w:color="auto"/>
              </w:divBdr>
              <w:divsChild>
                <w:div w:id="196334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559641">
          <w:marLeft w:val="0"/>
          <w:marRight w:val="0"/>
          <w:marTop w:val="0"/>
          <w:marBottom w:val="0"/>
          <w:divBdr>
            <w:top w:val="none" w:sz="0" w:space="0" w:color="auto"/>
            <w:left w:val="none" w:sz="0" w:space="0" w:color="auto"/>
            <w:bottom w:val="none" w:sz="0" w:space="0" w:color="auto"/>
            <w:right w:val="none" w:sz="0" w:space="0" w:color="auto"/>
          </w:divBdr>
          <w:divsChild>
            <w:div w:id="827673230">
              <w:marLeft w:val="0"/>
              <w:marRight w:val="0"/>
              <w:marTop w:val="0"/>
              <w:marBottom w:val="0"/>
              <w:divBdr>
                <w:top w:val="none" w:sz="0" w:space="0" w:color="auto"/>
                <w:left w:val="none" w:sz="0" w:space="0" w:color="auto"/>
                <w:bottom w:val="none" w:sz="0" w:space="0" w:color="auto"/>
                <w:right w:val="none" w:sz="0" w:space="0" w:color="auto"/>
              </w:divBdr>
              <w:divsChild>
                <w:div w:id="2130010266">
                  <w:marLeft w:val="0"/>
                  <w:marRight w:val="0"/>
                  <w:marTop w:val="0"/>
                  <w:marBottom w:val="0"/>
                  <w:divBdr>
                    <w:top w:val="none" w:sz="0" w:space="0" w:color="auto"/>
                    <w:left w:val="none" w:sz="0" w:space="0" w:color="auto"/>
                    <w:bottom w:val="none" w:sz="0" w:space="0" w:color="auto"/>
                    <w:right w:val="none" w:sz="0" w:space="0" w:color="auto"/>
                  </w:divBdr>
                </w:div>
                <w:div w:id="537738632">
                  <w:marLeft w:val="0"/>
                  <w:marRight w:val="0"/>
                  <w:marTop w:val="0"/>
                  <w:marBottom w:val="0"/>
                  <w:divBdr>
                    <w:top w:val="none" w:sz="0" w:space="0" w:color="auto"/>
                    <w:left w:val="none" w:sz="0" w:space="0" w:color="auto"/>
                    <w:bottom w:val="none" w:sz="0" w:space="0" w:color="auto"/>
                    <w:right w:val="none" w:sz="0" w:space="0" w:color="auto"/>
                  </w:divBdr>
                </w:div>
                <w:div w:id="92334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481568">
      <w:bodyDiv w:val="1"/>
      <w:marLeft w:val="0"/>
      <w:marRight w:val="0"/>
      <w:marTop w:val="0"/>
      <w:marBottom w:val="0"/>
      <w:divBdr>
        <w:top w:val="none" w:sz="0" w:space="0" w:color="auto"/>
        <w:left w:val="none" w:sz="0" w:space="0" w:color="auto"/>
        <w:bottom w:val="none" w:sz="0" w:space="0" w:color="auto"/>
        <w:right w:val="none" w:sz="0" w:space="0" w:color="auto"/>
      </w:divBdr>
    </w:div>
    <w:div w:id="828329485">
      <w:bodyDiv w:val="1"/>
      <w:marLeft w:val="0"/>
      <w:marRight w:val="0"/>
      <w:marTop w:val="0"/>
      <w:marBottom w:val="0"/>
      <w:divBdr>
        <w:top w:val="none" w:sz="0" w:space="0" w:color="auto"/>
        <w:left w:val="none" w:sz="0" w:space="0" w:color="auto"/>
        <w:bottom w:val="none" w:sz="0" w:space="0" w:color="auto"/>
        <w:right w:val="none" w:sz="0" w:space="0" w:color="auto"/>
      </w:divBdr>
      <w:divsChild>
        <w:div w:id="29282964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866412979">
      <w:bodyDiv w:val="1"/>
      <w:marLeft w:val="0"/>
      <w:marRight w:val="0"/>
      <w:marTop w:val="0"/>
      <w:marBottom w:val="0"/>
      <w:divBdr>
        <w:top w:val="none" w:sz="0" w:space="0" w:color="auto"/>
        <w:left w:val="none" w:sz="0" w:space="0" w:color="auto"/>
        <w:bottom w:val="none" w:sz="0" w:space="0" w:color="auto"/>
        <w:right w:val="none" w:sz="0" w:space="0" w:color="auto"/>
      </w:divBdr>
    </w:div>
    <w:div w:id="873736556">
      <w:bodyDiv w:val="1"/>
      <w:marLeft w:val="0"/>
      <w:marRight w:val="0"/>
      <w:marTop w:val="0"/>
      <w:marBottom w:val="0"/>
      <w:divBdr>
        <w:top w:val="none" w:sz="0" w:space="0" w:color="auto"/>
        <w:left w:val="none" w:sz="0" w:space="0" w:color="auto"/>
        <w:bottom w:val="none" w:sz="0" w:space="0" w:color="auto"/>
        <w:right w:val="none" w:sz="0" w:space="0" w:color="auto"/>
      </w:divBdr>
    </w:div>
    <w:div w:id="874151272">
      <w:bodyDiv w:val="1"/>
      <w:marLeft w:val="0"/>
      <w:marRight w:val="0"/>
      <w:marTop w:val="0"/>
      <w:marBottom w:val="0"/>
      <w:divBdr>
        <w:top w:val="none" w:sz="0" w:space="0" w:color="auto"/>
        <w:left w:val="none" w:sz="0" w:space="0" w:color="auto"/>
        <w:bottom w:val="none" w:sz="0" w:space="0" w:color="auto"/>
        <w:right w:val="none" w:sz="0" w:space="0" w:color="auto"/>
      </w:divBdr>
      <w:divsChild>
        <w:div w:id="1979022541">
          <w:marLeft w:val="0"/>
          <w:marRight w:val="0"/>
          <w:marTop w:val="150"/>
          <w:marBottom w:val="270"/>
          <w:divBdr>
            <w:top w:val="none" w:sz="0" w:space="0" w:color="auto"/>
            <w:left w:val="none" w:sz="0" w:space="0" w:color="auto"/>
            <w:bottom w:val="none" w:sz="0" w:space="0" w:color="auto"/>
            <w:right w:val="none" w:sz="0" w:space="0" w:color="auto"/>
          </w:divBdr>
        </w:div>
        <w:div w:id="1780876658">
          <w:marLeft w:val="0"/>
          <w:marRight w:val="0"/>
          <w:marTop w:val="150"/>
          <w:marBottom w:val="270"/>
          <w:divBdr>
            <w:top w:val="none" w:sz="0" w:space="0" w:color="auto"/>
            <w:left w:val="none" w:sz="0" w:space="0" w:color="auto"/>
            <w:bottom w:val="none" w:sz="0" w:space="0" w:color="auto"/>
            <w:right w:val="none" w:sz="0" w:space="0" w:color="auto"/>
          </w:divBdr>
        </w:div>
        <w:div w:id="2139688776">
          <w:marLeft w:val="0"/>
          <w:marRight w:val="0"/>
          <w:marTop w:val="150"/>
          <w:marBottom w:val="270"/>
          <w:divBdr>
            <w:top w:val="none" w:sz="0" w:space="0" w:color="auto"/>
            <w:left w:val="none" w:sz="0" w:space="0" w:color="auto"/>
            <w:bottom w:val="none" w:sz="0" w:space="0" w:color="auto"/>
            <w:right w:val="none" w:sz="0" w:space="0" w:color="auto"/>
          </w:divBdr>
        </w:div>
        <w:div w:id="1206021030">
          <w:marLeft w:val="0"/>
          <w:marRight w:val="0"/>
          <w:marTop w:val="150"/>
          <w:marBottom w:val="270"/>
          <w:divBdr>
            <w:top w:val="none" w:sz="0" w:space="0" w:color="auto"/>
            <w:left w:val="none" w:sz="0" w:space="0" w:color="auto"/>
            <w:bottom w:val="none" w:sz="0" w:space="0" w:color="auto"/>
            <w:right w:val="none" w:sz="0" w:space="0" w:color="auto"/>
          </w:divBdr>
        </w:div>
        <w:div w:id="1528980856">
          <w:marLeft w:val="0"/>
          <w:marRight w:val="0"/>
          <w:marTop w:val="150"/>
          <w:marBottom w:val="270"/>
          <w:divBdr>
            <w:top w:val="none" w:sz="0" w:space="0" w:color="auto"/>
            <w:left w:val="none" w:sz="0" w:space="0" w:color="auto"/>
            <w:bottom w:val="none" w:sz="0" w:space="0" w:color="auto"/>
            <w:right w:val="none" w:sz="0" w:space="0" w:color="auto"/>
          </w:divBdr>
        </w:div>
        <w:div w:id="1563902945">
          <w:marLeft w:val="0"/>
          <w:marRight w:val="0"/>
          <w:marTop w:val="150"/>
          <w:marBottom w:val="270"/>
          <w:divBdr>
            <w:top w:val="none" w:sz="0" w:space="0" w:color="auto"/>
            <w:left w:val="none" w:sz="0" w:space="0" w:color="auto"/>
            <w:bottom w:val="none" w:sz="0" w:space="0" w:color="auto"/>
            <w:right w:val="none" w:sz="0" w:space="0" w:color="auto"/>
          </w:divBdr>
        </w:div>
      </w:divsChild>
    </w:div>
    <w:div w:id="895045359">
      <w:bodyDiv w:val="1"/>
      <w:marLeft w:val="0"/>
      <w:marRight w:val="0"/>
      <w:marTop w:val="0"/>
      <w:marBottom w:val="0"/>
      <w:divBdr>
        <w:top w:val="none" w:sz="0" w:space="0" w:color="auto"/>
        <w:left w:val="none" w:sz="0" w:space="0" w:color="auto"/>
        <w:bottom w:val="none" w:sz="0" w:space="0" w:color="auto"/>
        <w:right w:val="none" w:sz="0" w:space="0" w:color="auto"/>
      </w:divBdr>
    </w:div>
    <w:div w:id="899091905">
      <w:bodyDiv w:val="1"/>
      <w:marLeft w:val="0"/>
      <w:marRight w:val="0"/>
      <w:marTop w:val="0"/>
      <w:marBottom w:val="0"/>
      <w:divBdr>
        <w:top w:val="none" w:sz="0" w:space="0" w:color="auto"/>
        <w:left w:val="none" w:sz="0" w:space="0" w:color="auto"/>
        <w:bottom w:val="none" w:sz="0" w:space="0" w:color="auto"/>
        <w:right w:val="none" w:sz="0" w:space="0" w:color="auto"/>
      </w:divBdr>
    </w:div>
    <w:div w:id="905648568">
      <w:bodyDiv w:val="1"/>
      <w:marLeft w:val="0"/>
      <w:marRight w:val="0"/>
      <w:marTop w:val="0"/>
      <w:marBottom w:val="0"/>
      <w:divBdr>
        <w:top w:val="none" w:sz="0" w:space="0" w:color="auto"/>
        <w:left w:val="none" w:sz="0" w:space="0" w:color="auto"/>
        <w:bottom w:val="none" w:sz="0" w:space="0" w:color="auto"/>
        <w:right w:val="none" w:sz="0" w:space="0" w:color="auto"/>
      </w:divBdr>
    </w:div>
    <w:div w:id="914707572">
      <w:bodyDiv w:val="1"/>
      <w:marLeft w:val="0"/>
      <w:marRight w:val="0"/>
      <w:marTop w:val="0"/>
      <w:marBottom w:val="0"/>
      <w:divBdr>
        <w:top w:val="none" w:sz="0" w:space="0" w:color="auto"/>
        <w:left w:val="none" w:sz="0" w:space="0" w:color="auto"/>
        <w:bottom w:val="none" w:sz="0" w:space="0" w:color="auto"/>
        <w:right w:val="none" w:sz="0" w:space="0" w:color="auto"/>
      </w:divBdr>
    </w:div>
    <w:div w:id="938610968">
      <w:bodyDiv w:val="1"/>
      <w:marLeft w:val="0"/>
      <w:marRight w:val="0"/>
      <w:marTop w:val="0"/>
      <w:marBottom w:val="0"/>
      <w:divBdr>
        <w:top w:val="none" w:sz="0" w:space="0" w:color="auto"/>
        <w:left w:val="none" w:sz="0" w:space="0" w:color="auto"/>
        <w:bottom w:val="none" w:sz="0" w:space="0" w:color="auto"/>
        <w:right w:val="none" w:sz="0" w:space="0" w:color="auto"/>
      </w:divBdr>
    </w:div>
    <w:div w:id="940068809">
      <w:bodyDiv w:val="1"/>
      <w:marLeft w:val="0"/>
      <w:marRight w:val="0"/>
      <w:marTop w:val="0"/>
      <w:marBottom w:val="0"/>
      <w:divBdr>
        <w:top w:val="none" w:sz="0" w:space="0" w:color="auto"/>
        <w:left w:val="none" w:sz="0" w:space="0" w:color="auto"/>
        <w:bottom w:val="none" w:sz="0" w:space="0" w:color="auto"/>
        <w:right w:val="none" w:sz="0" w:space="0" w:color="auto"/>
      </w:divBdr>
      <w:divsChild>
        <w:div w:id="338585298">
          <w:marLeft w:val="0"/>
          <w:marRight w:val="0"/>
          <w:marTop w:val="150"/>
          <w:marBottom w:val="270"/>
          <w:divBdr>
            <w:top w:val="none" w:sz="0" w:space="0" w:color="auto"/>
            <w:left w:val="none" w:sz="0" w:space="0" w:color="auto"/>
            <w:bottom w:val="none" w:sz="0" w:space="0" w:color="auto"/>
            <w:right w:val="none" w:sz="0" w:space="0" w:color="auto"/>
          </w:divBdr>
          <w:divsChild>
            <w:div w:id="1654793899">
              <w:marLeft w:val="0"/>
              <w:marRight w:val="0"/>
              <w:marTop w:val="150"/>
              <w:marBottom w:val="270"/>
              <w:divBdr>
                <w:top w:val="none" w:sz="0" w:space="0" w:color="auto"/>
                <w:left w:val="none" w:sz="0" w:space="0" w:color="auto"/>
                <w:bottom w:val="none" w:sz="0" w:space="0" w:color="auto"/>
                <w:right w:val="none" w:sz="0" w:space="0" w:color="auto"/>
              </w:divBdr>
            </w:div>
            <w:div w:id="1897937797">
              <w:marLeft w:val="0"/>
              <w:marRight w:val="0"/>
              <w:marTop w:val="150"/>
              <w:marBottom w:val="270"/>
              <w:divBdr>
                <w:top w:val="none" w:sz="0" w:space="0" w:color="auto"/>
                <w:left w:val="none" w:sz="0" w:space="0" w:color="auto"/>
                <w:bottom w:val="none" w:sz="0" w:space="0" w:color="auto"/>
                <w:right w:val="none" w:sz="0" w:space="0" w:color="auto"/>
              </w:divBdr>
            </w:div>
            <w:div w:id="2088720215">
              <w:marLeft w:val="0"/>
              <w:marRight w:val="0"/>
              <w:marTop w:val="150"/>
              <w:marBottom w:val="270"/>
              <w:divBdr>
                <w:top w:val="none" w:sz="0" w:space="0" w:color="auto"/>
                <w:left w:val="none" w:sz="0" w:space="0" w:color="auto"/>
                <w:bottom w:val="none" w:sz="0" w:space="0" w:color="auto"/>
                <w:right w:val="none" w:sz="0" w:space="0" w:color="auto"/>
              </w:divBdr>
            </w:div>
            <w:div w:id="1344239195">
              <w:marLeft w:val="0"/>
              <w:marRight w:val="0"/>
              <w:marTop w:val="150"/>
              <w:marBottom w:val="270"/>
              <w:divBdr>
                <w:top w:val="none" w:sz="0" w:space="0" w:color="auto"/>
                <w:left w:val="none" w:sz="0" w:space="0" w:color="auto"/>
                <w:bottom w:val="none" w:sz="0" w:space="0" w:color="auto"/>
                <w:right w:val="none" w:sz="0" w:space="0" w:color="auto"/>
              </w:divBdr>
            </w:div>
            <w:div w:id="684596396">
              <w:marLeft w:val="0"/>
              <w:marRight w:val="0"/>
              <w:marTop w:val="150"/>
              <w:marBottom w:val="270"/>
              <w:divBdr>
                <w:top w:val="none" w:sz="0" w:space="0" w:color="auto"/>
                <w:left w:val="none" w:sz="0" w:space="0" w:color="auto"/>
                <w:bottom w:val="none" w:sz="0" w:space="0" w:color="auto"/>
                <w:right w:val="none" w:sz="0" w:space="0" w:color="auto"/>
              </w:divBdr>
            </w:div>
          </w:divsChild>
        </w:div>
      </w:divsChild>
    </w:div>
    <w:div w:id="948858734">
      <w:bodyDiv w:val="1"/>
      <w:marLeft w:val="0"/>
      <w:marRight w:val="0"/>
      <w:marTop w:val="0"/>
      <w:marBottom w:val="0"/>
      <w:divBdr>
        <w:top w:val="none" w:sz="0" w:space="0" w:color="auto"/>
        <w:left w:val="none" w:sz="0" w:space="0" w:color="auto"/>
        <w:bottom w:val="none" w:sz="0" w:space="0" w:color="auto"/>
        <w:right w:val="none" w:sz="0" w:space="0" w:color="auto"/>
      </w:divBdr>
    </w:div>
    <w:div w:id="949122477">
      <w:bodyDiv w:val="1"/>
      <w:marLeft w:val="0"/>
      <w:marRight w:val="0"/>
      <w:marTop w:val="0"/>
      <w:marBottom w:val="0"/>
      <w:divBdr>
        <w:top w:val="none" w:sz="0" w:space="0" w:color="auto"/>
        <w:left w:val="none" w:sz="0" w:space="0" w:color="auto"/>
        <w:bottom w:val="none" w:sz="0" w:space="0" w:color="auto"/>
        <w:right w:val="none" w:sz="0" w:space="0" w:color="auto"/>
      </w:divBdr>
    </w:div>
    <w:div w:id="954554647">
      <w:bodyDiv w:val="1"/>
      <w:marLeft w:val="0"/>
      <w:marRight w:val="0"/>
      <w:marTop w:val="0"/>
      <w:marBottom w:val="0"/>
      <w:divBdr>
        <w:top w:val="none" w:sz="0" w:space="0" w:color="auto"/>
        <w:left w:val="none" w:sz="0" w:space="0" w:color="auto"/>
        <w:bottom w:val="none" w:sz="0" w:space="0" w:color="auto"/>
        <w:right w:val="none" w:sz="0" w:space="0" w:color="auto"/>
      </w:divBdr>
    </w:div>
    <w:div w:id="958341892">
      <w:bodyDiv w:val="1"/>
      <w:marLeft w:val="0"/>
      <w:marRight w:val="0"/>
      <w:marTop w:val="0"/>
      <w:marBottom w:val="0"/>
      <w:divBdr>
        <w:top w:val="none" w:sz="0" w:space="0" w:color="auto"/>
        <w:left w:val="none" w:sz="0" w:space="0" w:color="auto"/>
        <w:bottom w:val="none" w:sz="0" w:space="0" w:color="auto"/>
        <w:right w:val="none" w:sz="0" w:space="0" w:color="auto"/>
      </w:divBdr>
    </w:div>
    <w:div w:id="960498554">
      <w:bodyDiv w:val="1"/>
      <w:marLeft w:val="0"/>
      <w:marRight w:val="0"/>
      <w:marTop w:val="0"/>
      <w:marBottom w:val="0"/>
      <w:divBdr>
        <w:top w:val="none" w:sz="0" w:space="0" w:color="auto"/>
        <w:left w:val="none" w:sz="0" w:space="0" w:color="auto"/>
        <w:bottom w:val="none" w:sz="0" w:space="0" w:color="auto"/>
        <w:right w:val="none" w:sz="0" w:space="0" w:color="auto"/>
      </w:divBdr>
    </w:div>
    <w:div w:id="989216345">
      <w:bodyDiv w:val="1"/>
      <w:marLeft w:val="0"/>
      <w:marRight w:val="0"/>
      <w:marTop w:val="0"/>
      <w:marBottom w:val="0"/>
      <w:divBdr>
        <w:top w:val="none" w:sz="0" w:space="0" w:color="auto"/>
        <w:left w:val="none" w:sz="0" w:space="0" w:color="auto"/>
        <w:bottom w:val="none" w:sz="0" w:space="0" w:color="auto"/>
        <w:right w:val="none" w:sz="0" w:space="0" w:color="auto"/>
      </w:divBdr>
    </w:div>
    <w:div w:id="993527415">
      <w:bodyDiv w:val="1"/>
      <w:marLeft w:val="0"/>
      <w:marRight w:val="0"/>
      <w:marTop w:val="0"/>
      <w:marBottom w:val="0"/>
      <w:divBdr>
        <w:top w:val="none" w:sz="0" w:space="0" w:color="auto"/>
        <w:left w:val="none" w:sz="0" w:space="0" w:color="auto"/>
        <w:bottom w:val="none" w:sz="0" w:space="0" w:color="auto"/>
        <w:right w:val="none" w:sz="0" w:space="0" w:color="auto"/>
      </w:divBdr>
    </w:div>
    <w:div w:id="997922238">
      <w:bodyDiv w:val="1"/>
      <w:marLeft w:val="0"/>
      <w:marRight w:val="0"/>
      <w:marTop w:val="0"/>
      <w:marBottom w:val="0"/>
      <w:divBdr>
        <w:top w:val="none" w:sz="0" w:space="0" w:color="auto"/>
        <w:left w:val="none" w:sz="0" w:space="0" w:color="auto"/>
        <w:bottom w:val="none" w:sz="0" w:space="0" w:color="auto"/>
        <w:right w:val="none" w:sz="0" w:space="0" w:color="auto"/>
      </w:divBdr>
      <w:divsChild>
        <w:div w:id="204486628">
          <w:marLeft w:val="0"/>
          <w:marRight w:val="0"/>
          <w:marTop w:val="0"/>
          <w:marBottom w:val="0"/>
          <w:divBdr>
            <w:top w:val="none" w:sz="0" w:space="0" w:color="auto"/>
            <w:left w:val="none" w:sz="0" w:space="0" w:color="auto"/>
            <w:bottom w:val="none" w:sz="0" w:space="0" w:color="auto"/>
            <w:right w:val="none" w:sz="0" w:space="0" w:color="auto"/>
          </w:divBdr>
          <w:divsChild>
            <w:div w:id="916136546">
              <w:marLeft w:val="0"/>
              <w:marRight w:val="-2100"/>
              <w:marTop w:val="0"/>
              <w:marBottom w:val="0"/>
              <w:divBdr>
                <w:top w:val="none" w:sz="0" w:space="0" w:color="auto"/>
                <w:left w:val="none" w:sz="0" w:space="0" w:color="auto"/>
                <w:bottom w:val="none" w:sz="0" w:space="0" w:color="auto"/>
                <w:right w:val="none" w:sz="0" w:space="0" w:color="auto"/>
              </w:divBdr>
              <w:divsChild>
                <w:div w:id="1045525706">
                  <w:marLeft w:val="0"/>
                  <w:marRight w:val="2100"/>
                  <w:marTop w:val="0"/>
                  <w:marBottom w:val="0"/>
                  <w:divBdr>
                    <w:top w:val="none" w:sz="0" w:space="0" w:color="auto"/>
                    <w:left w:val="none" w:sz="0" w:space="0" w:color="auto"/>
                    <w:bottom w:val="none" w:sz="0" w:space="0" w:color="auto"/>
                    <w:right w:val="none" w:sz="0" w:space="0" w:color="auto"/>
                  </w:divBdr>
                </w:div>
                <w:div w:id="390353684">
                  <w:marLeft w:val="0"/>
                  <w:marRight w:val="2100"/>
                  <w:marTop w:val="0"/>
                  <w:marBottom w:val="0"/>
                  <w:divBdr>
                    <w:top w:val="none" w:sz="0" w:space="0" w:color="auto"/>
                    <w:left w:val="none" w:sz="0" w:space="0" w:color="auto"/>
                    <w:bottom w:val="none" w:sz="0" w:space="0" w:color="auto"/>
                    <w:right w:val="none" w:sz="0" w:space="0" w:color="auto"/>
                  </w:divBdr>
                </w:div>
              </w:divsChild>
            </w:div>
            <w:div w:id="487064575">
              <w:marLeft w:val="0"/>
              <w:marRight w:val="0"/>
              <w:marTop w:val="0"/>
              <w:marBottom w:val="30"/>
              <w:divBdr>
                <w:top w:val="none" w:sz="0" w:space="0" w:color="auto"/>
                <w:left w:val="none" w:sz="0" w:space="0" w:color="auto"/>
                <w:bottom w:val="none" w:sz="0" w:space="0" w:color="auto"/>
                <w:right w:val="none" w:sz="0" w:space="0" w:color="auto"/>
              </w:divBdr>
            </w:div>
            <w:div w:id="1356274471">
              <w:marLeft w:val="0"/>
              <w:marRight w:val="0"/>
              <w:marTop w:val="0"/>
              <w:marBottom w:val="30"/>
              <w:divBdr>
                <w:top w:val="none" w:sz="0" w:space="0" w:color="auto"/>
                <w:left w:val="none" w:sz="0" w:space="0" w:color="auto"/>
                <w:bottom w:val="none" w:sz="0" w:space="0" w:color="auto"/>
                <w:right w:val="none" w:sz="0" w:space="0" w:color="auto"/>
              </w:divBdr>
            </w:div>
            <w:div w:id="737705933">
              <w:marLeft w:val="0"/>
              <w:marRight w:val="0"/>
              <w:marTop w:val="0"/>
              <w:marBottom w:val="30"/>
              <w:divBdr>
                <w:top w:val="none" w:sz="0" w:space="0" w:color="auto"/>
                <w:left w:val="none" w:sz="0" w:space="0" w:color="auto"/>
                <w:bottom w:val="none" w:sz="0" w:space="0" w:color="auto"/>
                <w:right w:val="none" w:sz="0" w:space="0" w:color="auto"/>
              </w:divBdr>
            </w:div>
            <w:div w:id="171070806">
              <w:marLeft w:val="0"/>
              <w:marRight w:val="0"/>
              <w:marTop w:val="0"/>
              <w:marBottom w:val="30"/>
              <w:divBdr>
                <w:top w:val="none" w:sz="0" w:space="0" w:color="auto"/>
                <w:left w:val="none" w:sz="0" w:space="0" w:color="auto"/>
                <w:bottom w:val="none" w:sz="0" w:space="0" w:color="auto"/>
                <w:right w:val="none" w:sz="0" w:space="0" w:color="auto"/>
              </w:divBdr>
            </w:div>
            <w:div w:id="2064401700">
              <w:marLeft w:val="0"/>
              <w:marRight w:val="-2100"/>
              <w:marTop w:val="0"/>
              <w:marBottom w:val="0"/>
              <w:divBdr>
                <w:top w:val="none" w:sz="0" w:space="0" w:color="auto"/>
                <w:left w:val="none" w:sz="0" w:space="0" w:color="auto"/>
                <w:bottom w:val="none" w:sz="0" w:space="0" w:color="auto"/>
                <w:right w:val="none" w:sz="0" w:space="0" w:color="auto"/>
              </w:divBdr>
              <w:divsChild>
                <w:div w:id="1404058666">
                  <w:marLeft w:val="0"/>
                  <w:marRight w:val="2100"/>
                  <w:marTop w:val="0"/>
                  <w:marBottom w:val="0"/>
                  <w:divBdr>
                    <w:top w:val="none" w:sz="0" w:space="0" w:color="auto"/>
                    <w:left w:val="none" w:sz="0" w:space="0" w:color="auto"/>
                    <w:bottom w:val="none" w:sz="0" w:space="0" w:color="auto"/>
                    <w:right w:val="none" w:sz="0" w:space="0" w:color="auto"/>
                  </w:divBdr>
                </w:div>
                <w:div w:id="698895865">
                  <w:marLeft w:val="0"/>
                  <w:marRight w:val="2100"/>
                  <w:marTop w:val="0"/>
                  <w:marBottom w:val="0"/>
                  <w:divBdr>
                    <w:top w:val="none" w:sz="0" w:space="0" w:color="auto"/>
                    <w:left w:val="none" w:sz="0" w:space="0" w:color="auto"/>
                    <w:bottom w:val="none" w:sz="0" w:space="0" w:color="auto"/>
                    <w:right w:val="none" w:sz="0" w:space="0" w:color="auto"/>
                  </w:divBdr>
                </w:div>
              </w:divsChild>
            </w:div>
            <w:div w:id="57287638">
              <w:marLeft w:val="0"/>
              <w:marRight w:val="0"/>
              <w:marTop w:val="0"/>
              <w:marBottom w:val="30"/>
              <w:divBdr>
                <w:top w:val="none" w:sz="0" w:space="0" w:color="auto"/>
                <w:left w:val="none" w:sz="0" w:space="0" w:color="auto"/>
                <w:bottom w:val="none" w:sz="0" w:space="0" w:color="auto"/>
                <w:right w:val="none" w:sz="0" w:space="0" w:color="auto"/>
              </w:divBdr>
            </w:div>
            <w:div w:id="1445807792">
              <w:marLeft w:val="0"/>
              <w:marRight w:val="0"/>
              <w:marTop w:val="0"/>
              <w:marBottom w:val="30"/>
              <w:divBdr>
                <w:top w:val="none" w:sz="0" w:space="0" w:color="auto"/>
                <w:left w:val="none" w:sz="0" w:space="0" w:color="auto"/>
                <w:bottom w:val="none" w:sz="0" w:space="0" w:color="auto"/>
                <w:right w:val="none" w:sz="0" w:space="0" w:color="auto"/>
              </w:divBdr>
            </w:div>
            <w:div w:id="1635867135">
              <w:marLeft w:val="0"/>
              <w:marRight w:val="0"/>
              <w:marTop w:val="0"/>
              <w:marBottom w:val="30"/>
              <w:divBdr>
                <w:top w:val="none" w:sz="0" w:space="0" w:color="auto"/>
                <w:left w:val="none" w:sz="0" w:space="0" w:color="auto"/>
                <w:bottom w:val="none" w:sz="0" w:space="0" w:color="auto"/>
                <w:right w:val="none" w:sz="0" w:space="0" w:color="auto"/>
              </w:divBdr>
            </w:div>
            <w:div w:id="547111929">
              <w:marLeft w:val="0"/>
              <w:marRight w:val="0"/>
              <w:marTop w:val="0"/>
              <w:marBottom w:val="30"/>
              <w:divBdr>
                <w:top w:val="none" w:sz="0" w:space="0" w:color="auto"/>
                <w:left w:val="none" w:sz="0" w:space="0" w:color="auto"/>
                <w:bottom w:val="none" w:sz="0" w:space="0" w:color="auto"/>
                <w:right w:val="none" w:sz="0" w:space="0" w:color="auto"/>
              </w:divBdr>
            </w:div>
            <w:div w:id="44380808">
              <w:marLeft w:val="0"/>
              <w:marRight w:val="-2100"/>
              <w:marTop w:val="0"/>
              <w:marBottom w:val="0"/>
              <w:divBdr>
                <w:top w:val="none" w:sz="0" w:space="0" w:color="auto"/>
                <w:left w:val="none" w:sz="0" w:space="0" w:color="auto"/>
                <w:bottom w:val="none" w:sz="0" w:space="0" w:color="auto"/>
                <w:right w:val="none" w:sz="0" w:space="0" w:color="auto"/>
              </w:divBdr>
              <w:divsChild>
                <w:div w:id="1405832359">
                  <w:marLeft w:val="0"/>
                  <w:marRight w:val="2100"/>
                  <w:marTop w:val="0"/>
                  <w:marBottom w:val="0"/>
                  <w:divBdr>
                    <w:top w:val="none" w:sz="0" w:space="0" w:color="auto"/>
                    <w:left w:val="none" w:sz="0" w:space="0" w:color="auto"/>
                    <w:bottom w:val="none" w:sz="0" w:space="0" w:color="auto"/>
                    <w:right w:val="none" w:sz="0" w:space="0" w:color="auto"/>
                  </w:divBdr>
                </w:div>
                <w:div w:id="1322008540">
                  <w:marLeft w:val="0"/>
                  <w:marRight w:val="2100"/>
                  <w:marTop w:val="0"/>
                  <w:marBottom w:val="0"/>
                  <w:divBdr>
                    <w:top w:val="none" w:sz="0" w:space="0" w:color="auto"/>
                    <w:left w:val="none" w:sz="0" w:space="0" w:color="auto"/>
                    <w:bottom w:val="none" w:sz="0" w:space="0" w:color="auto"/>
                    <w:right w:val="none" w:sz="0" w:space="0" w:color="auto"/>
                  </w:divBdr>
                </w:div>
              </w:divsChild>
            </w:div>
            <w:div w:id="732123995">
              <w:marLeft w:val="0"/>
              <w:marRight w:val="0"/>
              <w:marTop w:val="0"/>
              <w:marBottom w:val="30"/>
              <w:divBdr>
                <w:top w:val="none" w:sz="0" w:space="0" w:color="auto"/>
                <w:left w:val="none" w:sz="0" w:space="0" w:color="auto"/>
                <w:bottom w:val="none" w:sz="0" w:space="0" w:color="auto"/>
                <w:right w:val="none" w:sz="0" w:space="0" w:color="auto"/>
              </w:divBdr>
            </w:div>
            <w:div w:id="1727993864">
              <w:marLeft w:val="0"/>
              <w:marRight w:val="0"/>
              <w:marTop w:val="0"/>
              <w:marBottom w:val="30"/>
              <w:divBdr>
                <w:top w:val="none" w:sz="0" w:space="0" w:color="auto"/>
                <w:left w:val="none" w:sz="0" w:space="0" w:color="auto"/>
                <w:bottom w:val="none" w:sz="0" w:space="0" w:color="auto"/>
                <w:right w:val="none" w:sz="0" w:space="0" w:color="auto"/>
              </w:divBdr>
            </w:div>
            <w:div w:id="1795128501">
              <w:marLeft w:val="0"/>
              <w:marRight w:val="0"/>
              <w:marTop w:val="0"/>
              <w:marBottom w:val="30"/>
              <w:divBdr>
                <w:top w:val="none" w:sz="0" w:space="0" w:color="auto"/>
                <w:left w:val="none" w:sz="0" w:space="0" w:color="auto"/>
                <w:bottom w:val="none" w:sz="0" w:space="0" w:color="auto"/>
                <w:right w:val="none" w:sz="0" w:space="0" w:color="auto"/>
              </w:divBdr>
            </w:div>
            <w:div w:id="1324315783">
              <w:marLeft w:val="0"/>
              <w:marRight w:val="0"/>
              <w:marTop w:val="0"/>
              <w:marBottom w:val="30"/>
              <w:divBdr>
                <w:top w:val="none" w:sz="0" w:space="0" w:color="auto"/>
                <w:left w:val="none" w:sz="0" w:space="0" w:color="auto"/>
                <w:bottom w:val="none" w:sz="0" w:space="0" w:color="auto"/>
                <w:right w:val="none" w:sz="0" w:space="0" w:color="auto"/>
              </w:divBdr>
            </w:div>
            <w:div w:id="1075972278">
              <w:marLeft w:val="0"/>
              <w:marRight w:val="-2100"/>
              <w:marTop w:val="0"/>
              <w:marBottom w:val="0"/>
              <w:divBdr>
                <w:top w:val="none" w:sz="0" w:space="0" w:color="auto"/>
                <w:left w:val="none" w:sz="0" w:space="0" w:color="auto"/>
                <w:bottom w:val="none" w:sz="0" w:space="0" w:color="auto"/>
                <w:right w:val="none" w:sz="0" w:space="0" w:color="auto"/>
              </w:divBdr>
              <w:divsChild>
                <w:div w:id="407969196">
                  <w:marLeft w:val="0"/>
                  <w:marRight w:val="2100"/>
                  <w:marTop w:val="0"/>
                  <w:marBottom w:val="0"/>
                  <w:divBdr>
                    <w:top w:val="none" w:sz="0" w:space="0" w:color="auto"/>
                    <w:left w:val="none" w:sz="0" w:space="0" w:color="auto"/>
                    <w:bottom w:val="none" w:sz="0" w:space="0" w:color="auto"/>
                    <w:right w:val="none" w:sz="0" w:space="0" w:color="auto"/>
                  </w:divBdr>
                </w:div>
                <w:div w:id="1915160752">
                  <w:marLeft w:val="0"/>
                  <w:marRight w:val="2100"/>
                  <w:marTop w:val="0"/>
                  <w:marBottom w:val="0"/>
                  <w:divBdr>
                    <w:top w:val="none" w:sz="0" w:space="0" w:color="auto"/>
                    <w:left w:val="none" w:sz="0" w:space="0" w:color="auto"/>
                    <w:bottom w:val="none" w:sz="0" w:space="0" w:color="auto"/>
                    <w:right w:val="none" w:sz="0" w:space="0" w:color="auto"/>
                  </w:divBdr>
                </w:div>
              </w:divsChild>
            </w:div>
            <w:div w:id="880284217">
              <w:marLeft w:val="0"/>
              <w:marRight w:val="0"/>
              <w:marTop w:val="0"/>
              <w:marBottom w:val="30"/>
              <w:divBdr>
                <w:top w:val="none" w:sz="0" w:space="0" w:color="auto"/>
                <w:left w:val="none" w:sz="0" w:space="0" w:color="auto"/>
                <w:bottom w:val="none" w:sz="0" w:space="0" w:color="auto"/>
                <w:right w:val="none" w:sz="0" w:space="0" w:color="auto"/>
              </w:divBdr>
            </w:div>
            <w:div w:id="866404121">
              <w:marLeft w:val="0"/>
              <w:marRight w:val="0"/>
              <w:marTop w:val="0"/>
              <w:marBottom w:val="30"/>
              <w:divBdr>
                <w:top w:val="none" w:sz="0" w:space="0" w:color="auto"/>
                <w:left w:val="none" w:sz="0" w:space="0" w:color="auto"/>
                <w:bottom w:val="none" w:sz="0" w:space="0" w:color="auto"/>
                <w:right w:val="none" w:sz="0" w:space="0" w:color="auto"/>
              </w:divBdr>
            </w:div>
            <w:div w:id="904533646">
              <w:marLeft w:val="0"/>
              <w:marRight w:val="0"/>
              <w:marTop w:val="0"/>
              <w:marBottom w:val="30"/>
              <w:divBdr>
                <w:top w:val="none" w:sz="0" w:space="0" w:color="auto"/>
                <w:left w:val="none" w:sz="0" w:space="0" w:color="auto"/>
                <w:bottom w:val="none" w:sz="0" w:space="0" w:color="auto"/>
                <w:right w:val="none" w:sz="0" w:space="0" w:color="auto"/>
              </w:divBdr>
            </w:div>
            <w:div w:id="1537620204">
              <w:marLeft w:val="0"/>
              <w:marRight w:val="0"/>
              <w:marTop w:val="0"/>
              <w:marBottom w:val="30"/>
              <w:divBdr>
                <w:top w:val="none" w:sz="0" w:space="0" w:color="auto"/>
                <w:left w:val="none" w:sz="0" w:space="0" w:color="auto"/>
                <w:bottom w:val="none" w:sz="0" w:space="0" w:color="auto"/>
                <w:right w:val="none" w:sz="0" w:space="0" w:color="auto"/>
              </w:divBdr>
            </w:div>
            <w:div w:id="742223384">
              <w:marLeft w:val="0"/>
              <w:marRight w:val="-2100"/>
              <w:marTop w:val="0"/>
              <w:marBottom w:val="0"/>
              <w:divBdr>
                <w:top w:val="none" w:sz="0" w:space="0" w:color="auto"/>
                <w:left w:val="none" w:sz="0" w:space="0" w:color="auto"/>
                <w:bottom w:val="none" w:sz="0" w:space="0" w:color="auto"/>
                <w:right w:val="none" w:sz="0" w:space="0" w:color="auto"/>
              </w:divBdr>
              <w:divsChild>
                <w:div w:id="1360619906">
                  <w:marLeft w:val="0"/>
                  <w:marRight w:val="2100"/>
                  <w:marTop w:val="0"/>
                  <w:marBottom w:val="0"/>
                  <w:divBdr>
                    <w:top w:val="none" w:sz="0" w:space="0" w:color="auto"/>
                    <w:left w:val="none" w:sz="0" w:space="0" w:color="auto"/>
                    <w:bottom w:val="none" w:sz="0" w:space="0" w:color="auto"/>
                    <w:right w:val="none" w:sz="0" w:space="0" w:color="auto"/>
                  </w:divBdr>
                </w:div>
                <w:div w:id="1469665754">
                  <w:marLeft w:val="0"/>
                  <w:marRight w:val="2100"/>
                  <w:marTop w:val="0"/>
                  <w:marBottom w:val="0"/>
                  <w:divBdr>
                    <w:top w:val="none" w:sz="0" w:space="0" w:color="auto"/>
                    <w:left w:val="none" w:sz="0" w:space="0" w:color="auto"/>
                    <w:bottom w:val="none" w:sz="0" w:space="0" w:color="auto"/>
                    <w:right w:val="none" w:sz="0" w:space="0" w:color="auto"/>
                  </w:divBdr>
                </w:div>
              </w:divsChild>
            </w:div>
            <w:div w:id="867596905">
              <w:marLeft w:val="0"/>
              <w:marRight w:val="0"/>
              <w:marTop w:val="0"/>
              <w:marBottom w:val="30"/>
              <w:divBdr>
                <w:top w:val="none" w:sz="0" w:space="0" w:color="auto"/>
                <w:left w:val="none" w:sz="0" w:space="0" w:color="auto"/>
                <w:bottom w:val="none" w:sz="0" w:space="0" w:color="auto"/>
                <w:right w:val="none" w:sz="0" w:space="0" w:color="auto"/>
              </w:divBdr>
            </w:div>
            <w:div w:id="938416334">
              <w:marLeft w:val="0"/>
              <w:marRight w:val="0"/>
              <w:marTop w:val="0"/>
              <w:marBottom w:val="30"/>
              <w:divBdr>
                <w:top w:val="none" w:sz="0" w:space="0" w:color="auto"/>
                <w:left w:val="none" w:sz="0" w:space="0" w:color="auto"/>
                <w:bottom w:val="none" w:sz="0" w:space="0" w:color="auto"/>
                <w:right w:val="none" w:sz="0" w:space="0" w:color="auto"/>
              </w:divBdr>
            </w:div>
            <w:div w:id="554514620">
              <w:marLeft w:val="0"/>
              <w:marRight w:val="0"/>
              <w:marTop w:val="0"/>
              <w:marBottom w:val="30"/>
              <w:divBdr>
                <w:top w:val="none" w:sz="0" w:space="0" w:color="auto"/>
                <w:left w:val="none" w:sz="0" w:space="0" w:color="auto"/>
                <w:bottom w:val="none" w:sz="0" w:space="0" w:color="auto"/>
                <w:right w:val="none" w:sz="0" w:space="0" w:color="auto"/>
              </w:divBdr>
            </w:div>
            <w:div w:id="339234561">
              <w:marLeft w:val="0"/>
              <w:marRight w:val="0"/>
              <w:marTop w:val="0"/>
              <w:marBottom w:val="30"/>
              <w:divBdr>
                <w:top w:val="none" w:sz="0" w:space="0" w:color="auto"/>
                <w:left w:val="none" w:sz="0" w:space="0" w:color="auto"/>
                <w:bottom w:val="none" w:sz="0" w:space="0" w:color="auto"/>
                <w:right w:val="none" w:sz="0" w:space="0" w:color="auto"/>
              </w:divBdr>
            </w:div>
            <w:div w:id="1582251387">
              <w:marLeft w:val="0"/>
              <w:marRight w:val="-2100"/>
              <w:marTop w:val="0"/>
              <w:marBottom w:val="0"/>
              <w:divBdr>
                <w:top w:val="none" w:sz="0" w:space="0" w:color="auto"/>
                <w:left w:val="none" w:sz="0" w:space="0" w:color="auto"/>
                <w:bottom w:val="none" w:sz="0" w:space="0" w:color="auto"/>
                <w:right w:val="none" w:sz="0" w:space="0" w:color="auto"/>
              </w:divBdr>
              <w:divsChild>
                <w:div w:id="15543854">
                  <w:marLeft w:val="0"/>
                  <w:marRight w:val="2100"/>
                  <w:marTop w:val="0"/>
                  <w:marBottom w:val="0"/>
                  <w:divBdr>
                    <w:top w:val="none" w:sz="0" w:space="0" w:color="auto"/>
                    <w:left w:val="none" w:sz="0" w:space="0" w:color="auto"/>
                    <w:bottom w:val="none" w:sz="0" w:space="0" w:color="auto"/>
                    <w:right w:val="none" w:sz="0" w:space="0" w:color="auto"/>
                  </w:divBdr>
                </w:div>
                <w:div w:id="1029725249">
                  <w:marLeft w:val="0"/>
                  <w:marRight w:val="2100"/>
                  <w:marTop w:val="0"/>
                  <w:marBottom w:val="0"/>
                  <w:divBdr>
                    <w:top w:val="none" w:sz="0" w:space="0" w:color="auto"/>
                    <w:left w:val="none" w:sz="0" w:space="0" w:color="auto"/>
                    <w:bottom w:val="none" w:sz="0" w:space="0" w:color="auto"/>
                    <w:right w:val="none" w:sz="0" w:space="0" w:color="auto"/>
                  </w:divBdr>
                </w:div>
              </w:divsChild>
            </w:div>
            <w:div w:id="1096368355">
              <w:marLeft w:val="0"/>
              <w:marRight w:val="0"/>
              <w:marTop w:val="0"/>
              <w:marBottom w:val="30"/>
              <w:divBdr>
                <w:top w:val="none" w:sz="0" w:space="0" w:color="auto"/>
                <w:left w:val="none" w:sz="0" w:space="0" w:color="auto"/>
                <w:bottom w:val="none" w:sz="0" w:space="0" w:color="auto"/>
                <w:right w:val="none" w:sz="0" w:space="0" w:color="auto"/>
              </w:divBdr>
            </w:div>
            <w:div w:id="1452628017">
              <w:marLeft w:val="0"/>
              <w:marRight w:val="0"/>
              <w:marTop w:val="0"/>
              <w:marBottom w:val="30"/>
              <w:divBdr>
                <w:top w:val="none" w:sz="0" w:space="0" w:color="auto"/>
                <w:left w:val="none" w:sz="0" w:space="0" w:color="auto"/>
                <w:bottom w:val="none" w:sz="0" w:space="0" w:color="auto"/>
                <w:right w:val="none" w:sz="0" w:space="0" w:color="auto"/>
              </w:divBdr>
            </w:div>
            <w:div w:id="1891727090">
              <w:marLeft w:val="0"/>
              <w:marRight w:val="0"/>
              <w:marTop w:val="0"/>
              <w:marBottom w:val="30"/>
              <w:divBdr>
                <w:top w:val="none" w:sz="0" w:space="0" w:color="auto"/>
                <w:left w:val="none" w:sz="0" w:space="0" w:color="auto"/>
                <w:bottom w:val="none" w:sz="0" w:space="0" w:color="auto"/>
                <w:right w:val="none" w:sz="0" w:space="0" w:color="auto"/>
              </w:divBdr>
            </w:div>
            <w:div w:id="1434208522">
              <w:marLeft w:val="0"/>
              <w:marRight w:val="0"/>
              <w:marTop w:val="0"/>
              <w:marBottom w:val="30"/>
              <w:divBdr>
                <w:top w:val="none" w:sz="0" w:space="0" w:color="auto"/>
                <w:left w:val="none" w:sz="0" w:space="0" w:color="auto"/>
                <w:bottom w:val="none" w:sz="0" w:space="0" w:color="auto"/>
                <w:right w:val="none" w:sz="0" w:space="0" w:color="auto"/>
              </w:divBdr>
            </w:div>
            <w:div w:id="1862620745">
              <w:marLeft w:val="0"/>
              <w:marRight w:val="-2100"/>
              <w:marTop w:val="0"/>
              <w:marBottom w:val="0"/>
              <w:divBdr>
                <w:top w:val="none" w:sz="0" w:space="0" w:color="auto"/>
                <w:left w:val="none" w:sz="0" w:space="0" w:color="auto"/>
                <w:bottom w:val="none" w:sz="0" w:space="0" w:color="auto"/>
                <w:right w:val="none" w:sz="0" w:space="0" w:color="auto"/>
              </w:divBdr>
              <w:divsChild>
                <w:div w:id="814685747">
                  <w:marLeft w:val="0"/>
                  <w:marRight w:val="2100"/>
                  <w:marTop w:val="0"/>
                  <w:marBottom w:val="0"/>
                  <w:divBdr>
                    <w:top w:val="none" w:sz="0" w:space="0" w:color="auto"/>
                    <w:left w:val="none" w:sz="0" w:space="0" w:color="auto"/>
                    <w:bottom w:val="none" w:sz="0" w:space="0" w:color="auto"/>
                    <w:right w:val="none" w:sz="0" w:space="0" w:color="auto"/>
                  </w:divBdr>
                </w:div>
                <w:div w:id="421993500">
                  <w:marLeft w:val="0"/>
                  <w:marRight w:val="2100"/>
                  <w:marTop w:val="0"/>
                  <w:marBottom w:val="0"/>
                  <w:divBdr>
                    <w:top w:val="none" w:sz="0" w:space="0" w:color="auto"/>
                    <w:left w:val="none" w:sz="0" w:space="0" w:color="auto"/>
                    <w:bottom w:val="none" w:sz="0" w:space="0" w:color="auto"/>
                    <w:right w:val="none" w:sz="0" w:space="0" w:color="auto"/>
                  </w:divBdr>
                </w:div>
              </w:divsChild>
            </w:div>
            <w:div w:id="1536193848">
              <w:marLeft w:val="0"/>
              <w:marRight w:val="0"/>
              <w:marTop w:val="0"/>
              <w:marBottom w:val="30"/>
              <w:divBdr>
                <w:top w:val="none" w:sz="0" w:space="0" w:color="auto"/>
                <w:left w:val="none" w:sz="0" w:space="0" w:color="auto"/>
                <w:bottom w:val="none" w:sz="0" w:space="0" w:color="auto"/>
                <w:right w:val="none" w:sz="0" w:space="0" w:color="auto"/>
              </w:divBdr>
            </w:div>
            <w:div w:id="142046207">
              <w:marLeft w:val="0"/>
              <w:marRight w:val="0"/>
              <w:marTop w:val="0"/>
              <w:marBottom w:val="30"/>
              <w:divBdr>
                <w:top w:val="none" w:sz="0" w:space="0" w:color="auto"/>
                <w:left w:val="none" w:sz="0" w:space="0" w:color="auto"/>
                <w:bottom w:val="none" w:sz="0" w:space="0" w:color="auto"/>
                <w:right w:val="none" w:sz="0" w:space="0" w:color="auto"/>
              </w:divBdr>
            </w:div>
            <w:div w:id="549266263">
              <w:marLeft w:val="0"/>
              <w:marRight w:val="0"/>
              <w:marTop w:val="0"/>
              <w:marBottom w:val="30"/>
              <w:divBdr>
                <w:top w:val="none" w:sz="0" w:space="0" w:color="auto"/>
                <w:left w:val="none" w:sz="0" w:space="0" w:color="auto"/>
                <w:bottom w:val="none" w:sz="0" w:space="0" w:color="auto"/>
                <w:right w:val="none" w:sz="0" w:space="0" w:color="auto"/>
              </w:divBdr>
            </w:div>
            <w:div w:id="1691104650">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999847764">
      <w:bodyDiv w:val="1"/>
      <w:marLeft w:val="0"/>
      <w:marRight w:val="0"/>
      <w:marTop w:val="0"/>
      <w:marBottom w:val="0"/>
      <w:divBdr>
        <w:top w:val="none" w:sz="0" w:space="0" w:color="auto"/>
        <w:left w:val="none" w:sz="0" w:space="0" w:color="auto"/>
        <w:bottom w:val="none" w:sz="0" w:space="0" w:color="auto"/>
        <w:right w:val="none" w:sz="0" w:space="0" w:color="auto"/>
      </w:divBdr>
    </w:div>
    <w:div w:id="1017075752">
      <w:bodyDiv w:val="1"/>
      <w:marLeft w:val="0"/>
      <w:marRight w:val="0"/>
      <w:marTop w:val="0"/>
      <w:marBottom w:val="0"/>
      <w:divBdr>
        <w:top w:val="none" w:sz="0" w:space="0" w:color="auto"/>
        <w:left w:val="none" w:sz="0" w:space="0" w:color="auto"/>
        <w:bottom w:val="none" w:sz="0" w:space="0" w:color="auto"/>
        <w:right w:val="none" w:sz="0" w:space="0" w:color="auto"/>
      </w:divBdr>
      <w:divsChild>
        <w:div w:id="568272750">
          <w:marLeft w:val="0"/>
          <w:marRight w:val="0"/>
          <w:marTop w:val="0"/>
          <w:marBottom w:val="0"/>
          <w:divBdr>
            <w:top w:val="none" w:sz="0" w:space="0" w:color="auto"/>
            <w:left w:val="none" w:sz="0" w:space="0" w:color="auto"/>
            <w:bottom w:val="none" w:sz="0" w:space="0" w:color="auto"/>
            <w:right w:val="none" w:sz="0" w:space="0" w:color="auto"/>
          </w:divBdr>
        </w:div>
        <w:div w:id="689527462">
          <w:marLeft w:val="0"/>
          <w:marRight w:val="0"/>
          <w:marTop w:val="0"/>
          <w:marBottom w:val="0"/>
          <w:divBdr>
            <w:top w:val="none" w:sz="0" w:space="0" w:color="auto"/>
            <w:left w:val="none" w:sz="0" w:space="0" w:color="auto"/>
            <w:bottom w:val="none" w:sz="0" w:space="0" w:color="auto"/>
            <w:right w:val="none" w:sz="0" w:space="0" w:color="auto"/>
          </w:divBdr>
        </w:div>
      </w:divsChild>
    </w:div>
    <w:div w:id="1030298186">
      <w:bodyDiv w:val="1"/>
      <w:marLeft w:val="0"/>
      <w:marRight w:val="0"/>
      <w:marTop w:val="0"/>
      <w:marBottom w:val="0"/>
      <w:divBdr>
        <w:top w:val="none" w:sz="0" w:space="0" w:color="auto"/>
        <w:left w:val="none" w:sz="0" w:space="0" w:color="auto"/>
        <w:bottom w:val="none" w:sz="0" w:space="0" w:color="auto"/>
        <w:right w:val="none" w:sz="0" w:space="0" w:color="auto"/>
      </w:divBdr>
    </w:div>
    <w:div w:id="1033503932">
      <w:bodyDiv w:val="1"/>
      <w:marLeft w:val="0"/>
      <w:marRight w:val="0"/>
      <w:marTop w:val="0"/>
      <w:marBottom w:val="0"/>
      <w:divBdr>
        <w:top w:val="none" w:sz="0" w:space="0" w:color="auto"/>
        <w:left w:val="none" w:sz="0" w:space="0" w:color="auto"/>
        <w:bottom w:val="none" w:sz="0" w:space="0" w:color="auto"/>
        <w:right w:val="none" w:sz="0" w:space="0" w:color="auto"/>
      </w:divBdr>
    </w:div>
    <w:div w:id="1034305002">
      <w:bodyDiv w:val="1"/>
      <w:marLeft w:val="0"/>
      <w:marRight w:val="0"/>
      <w:marTop w:val="0"/>
      <w:marBottom w:val="0"/>
      <w:divBdr>
        <w:top w:val="none" w:sz="0" w:space="0" w:color="auto"/>
        <w:left w:val="none" w:sz="0" w:space="0" w:color="auto"/>
        <w:bottom w:val="none" w:sz="0" w:space="0" w:color="auto"/>
        <w:right w:val="none" w:sz="0" w:space="0" w:color="auto"/>
      </w:divBdr>
    </w:div>
    <w:div w:id="1043864536">
      <w:bodyDiv w:val="1"/>
      <w:marLeft w:val="0"/>
      <w:marRight w:val="0"/>
      <w:marTop w:val="0"/>
      <w:marBottom w:val="0"/>
      <w:divBdr>
        <w:top w:val="none" w:sz="0" w:space="0" w:color="auto"/>
        <w:left w:val="none" w:sz="0" w:space="0" w:color="auto"/>
        <w:bottom w:val="none" w:sz="0" w:space="0" w:color="auto"/>
        <w:right w:val="none" w:sz="0" w:space="0" w:color="auto"/>
      </w:divBdr>
    </w:div>
    <w:div w:id="1046098861">
      <w:bodyDiv w:val="1"/>
      <w:marLeft w:val="0"/>
      <w:marRight w:val="0"/>
      <w:marTop w:val="0"/>
      <w:marBottom w:val="0"/>
      <w:divBdr>
        <w:top w:val="none" w:sz="0" w:space="0" w:color="auto"/>
        <w:left w:val="none" w:sz="0" w:space="0" w:color="auto"/>
        <w:bottom w:val="none" w:sz="0" w:space="0" w:color="auto"/>
        <w:right w:val="none" w:sz="0" w:space="0" w:color="auto"/>
      </w:divBdr>
    </w:div>
    <w:div w:id="1047608384">
      <w:bodyDiv w:val="1"/>
      <w:marLeft w:val="0"/>
      <w:marRight w:val="0"/>
      <w:marTop w:val="0"/>
      <w:marBottom w:val="0"/>
      <w:divBdr>
        <w:top w:val="none" w:sz="0" w:space="0" w:color="auto"/>
        <w:left w:val="none" w:sz="0" w:space="0" w:color="auto"/>
        <w:bottom w:val="none" w:sz="0" w:space="0" w:color="auto"/>
        <w:right w:val="none" w:sz="0" w:space="0" w:color="auto"/>
      </w:divBdr>
      <w:divsChild>
        <w:div w:id="1823692589">
          <w:marLeft w:val="0"/>
          <w:marRight w:val="-2652"/>
          <w:marTop w:val="0"/>
          <w:marBottom w:val="0"/>
          <w:divBdr>
            <w:top w:val="none" w:sz="0" w:space="0" w:color="auto"/>
            <w:left w:val="none" w:sz="0" w:space="0" w:color="auto"/>
            <w:bottom w:val="none" w:sz="0" w:space="0" w:color="auto"/>
            <w:right w:val="none" w:sz="0" w:space="0" w:color="auto"/>
          </w:divBdr>
          <w:divsChild>
            <w:div w:id="997000266">
              <w:marLeft w:val="0"/>
              <w:marRight w:val="2652"/>
              <w:marTop w:val="0"/>
              <w:marBottom w:val="0"/>
              <w:divBdr>
                <w:top w:val="none" w:sz="0" w:space="0" w:color="auto"/>
                <w:left w:val="none" w:sz="0" w:space="0" w:color="auto"/>
                <w:bottom w:val="none" w:sz="0" w:space="0" w:color="auto"/>
                <w:right w:val="none" w:sz="0" w:space="0" w:color="auto"/>
              </w:divBdr>
            </w:div>
            <w:div w:id="511185957">
              <w:marLeft w:val="0"/>
              <w:marRight w:val="2652"/>
              <w:marTop w:val="0"/>
              <w:marBottom w:val="0"/>
              <w:divBdr>
                <w:top w:val="none" w:sz="0" w:space="0" w:color="auto"/>
                <w:left w:val="none" w:sz="0" w:space="0" w:color="auto"/>
                <w:bottom w:val="none" w:sz="0" w:space="0" w:color="auto"/>
                <w:right w:val="none" w:sz="0" w:space="0" w:color="auto"/>
              </w:divBdr>
            </w:div>
          </w:divsChild>
        </w:div>
        <w:div w:id="2127503589">
          <w:marLeft w:val="0"/>
          <w:marRight w:val="0"/>
          <w:marTop w:val="0"/>
          <w:marBottom w:val="30"/>
          <w:divBdr>
            <w:top w:val="none" w:sz="0" w:space="0" w:color="auto"/>
            <w:left w:val="none" w:sz="0" w:space="0" w:color="auto"/>
            <w:bottom w:val="none" w:sz="0" w:space="0" w:color="auto"/>
            <w:right w:val="none" w:sz="0" w:space="0" w:color="auto"/>
          </w:divBdr>
        </w:div>
        <w:div w:id="10306656">
          <w:marLeft w:val="0"/>
          <w:marRight w:val="0"/>
          <w:marTop w:val="0"/>
          <w:marBottom w:val="30"/>
          <w:divBdr>
            <w:top w:val="none" w:sz="0" w:space="0" w:color="auto"/>
            <w:left w:val="none" w:sz="0" w:space="0" w:color="auto"/>
            <w:bottom w:val="none" w:sz="0" w:space="0" w:color="auto"/>
            <w:right w:val="none" w:sz="0" w:space="0" w:color="auto"/>
          </w:divBdr>
        </w:div>
        <w:div w:id="1068111810">
          <w:marLeft w:val="0"/>
          <w:marRight w:val="0"/>
          <w:marTop w:val="0"/>
          <w:marBottom w:val="30"/>
          <w:divBdr>
            <w:top w:val="none" w:sz="0" w:space="0" w:color="auto"/>
            <w:left w:val="none" w:sz="0" w:space="0" w:color="auto"/>
            <w:bottom w:val="none" w:sz="0" w:space="0" w:color="auto"/>
            <w:right w:val="none" w:sz="0" w:space="0" w:color="auto"/>
          </w:divBdr>
        </w:div>
        <w:div w:id="2061859353">
          <w:marLeft w:val="0"/>
          <w:marRight w:val="0"/>
          <w:marTop w:val="0"/>
          <w:marBottom w:val="30"/>
          <w:divBdr>
            <w:top w:val="none" w:sz="0" w:space="0" w:color="auto"/>
            <w:left w:val="none" w:sz="0" w:space="0" w:color="auto"/>
            <w:bottom w:val="none" w:sz="0" w:space="0" w:color="auto"/>
            <w:right w:val="none" w:sz="0" w:space="0" w:color="auto"/>
          </w:divBdr>
        </w:div>
        <w:div w:id="272322066">
          <w:marLeft w:val="0"/>
          <w:marRight w:val="-2652"/>
          <w:marTop w:val="0"/>
          <w:marBottom w:val="0"/>
          <w:divBdr>
            <w:top w:val="none" w:sz="0" w:space="0" w:color="auto"/>
            <w:left w:val="none" w:sz="0" w:space="0" w:color="auto"/>
            <w:bottom w:val="none" w:sz="0" w:space="0" w:color="auto"/>
            <w:right w:val="none" w:sz="0" w:space="0" w:color="auto"/>
          </w:divBdr>
          <w:divsChild>
            <w:div w:id="438138687">
              <w:marLeft w:val="0"/>
              <w:marRight w:val="2652"/>
              <w:marTop w:val="0"/>
              <w:marBottom w:val="0"/>
              <w:divBdr>
                <w:top w:val="none" w:sz="0" w:space="0" w:color="auto"/>
                <w:left w:val="none" w:sz="0" w:space="0" w:color="auto"/>
                <w:bottom w:val="none" w:sz="0" w:space="0" w:color="auto"/>
                <w:right w:val="none" w:sz="0" w:space="0" w:color="auto"/>
              </w:divBdr>
              <w:divsChild>
                <w:div w:id="1074089071">
                  <w:marLeft w:val="360"/>
                  <w:marRight w:val="0"/>
                  <w:marTop w:val="0"/>
                  <w:marBottom w:val="360"/>
                  <w:divBdr>
                    <w:top w:val="none" w:sz="0" w:space="0" w:color="auto"/>
                    <w:left w:val="none" w:sz="0" w:space="0" w:color="auto"/>
                    <w:bottom w:val="none" w:sz="0" w:space="0" w:color="auto"/>
                    <w:right w:val="none" w:sz="0" w:space="0" w:color="auto"/>
                  </w:divBdr>
                </w:div>
                <w:div w:id="997267478">
                  <w:marLeft w:val="0"/>
                  <w:marRight w:val="0"/>
                  <w:marTop w:val="0"/>
                  <w:marBottom w:val="360"/>
                  <w:divBdr>
                    <w:top w:val="none" w:sz="0" w:space="0" w:color="auto"/>
                    <w:left w:val="none" w:sz="0" w:space="0" w:color="auto"/>
                    <w:bottom w:val="none" w:sz="0" w:space="0" w:color="auto"/>
                    <w:right w:val="none" w:sz="0" w:space="0" w:color="auto"/>
                  </w:divBdr>
                </w:div>
              </w:divsChild>
            </w:div>
            <w:div w:id="1691641260">
              <w:marLeft w:val="0"/>
              <w:marRight w:val="2652"/>
              <w:marTop w:val="0"/>
              <w:marBottom w:val="0"/>
              <w:divBdr>
                <w:top w:val="none" w:sz="0" w:space="0" w:color="auto"/>
                <w:left w:val="none" w:sz="0" w:space="0" w:color="auto"/>
                <w:bottom w:val="none" w:sz="0" w:space="0" w:color="auto"/>
                <w:right w:val="none" w:sz="0" w:space="0" w:color="auto"/>
              </w:divBdr>
            </w:div>
          </w:divsChild>
        </w:div>
        <w:div w:id="631715801">
          <w:marLeft w:val="0"/>
          <w:marRight w:val="0"/>
          <w:marTop w:val="0"/>
          <w:marBottom w:val="30"/>
          <w:divBdr>
            <w:top w:val="none" w:sz="0" w:space="0" w:color="auto"/>
            <w:left w:val="none" w:sz="0" w:space="0" w:color="auto"/>
            <w:bottom w:val="none" w:sz="0" w:space="0" w:color="auto"/>
            <w:right w:val="none" w:sz="0" w:space="0" w:color="auto"/>
          </w:divBdr>
        </w:div>
        <w:div w:id="445776604">
          <w:marLeft w:val="0"/>
          <w:marRight w:val="0"/>
          <w:marTop w:val="0"/>
          <w:marBottom w:val="30"/>
          <w:divBdr>
            <w:top w:val="none" w:sz="0" w:space="0" w:color="auto"/>
            <w:left w:val="none" w:sz="0" w:space="0" w:color="auto"/>
            <w:bottom w:val="none" w:sz="0" w:space="0" w:color="auto"/>
            <w:right w:val="none" w:sz="0" w:space="0" w:color="auto"/>
          </w:divBdr>
        </w:div>
        <w:div w:id="1216117875">
          <w:marLeft w:val="0"/>
          <w:marRight w:val="0"/>
          <w:marTop w:val="0"/>
          <w:marBottom w:val="30"/>
          <w:divBdr>
            <w:top w:val="none" w:sz="0" w:space="0" w:color="auto"/>
            <w:left w:val="none" w:sz="0" w:space="0" w:color="auto"/>
            <w:bottom w:val="none" w:sz="0" w:space="0" w:color="auto"/>
            <w:right w:val="none" w:sz="0" w:space="0" w:color="auto"/>
          </w:divBdr>
        </w:div>
        <w:div w:id="1671523880">
          <w:marLeft w:val="0"/>
          <w:marRight w:val="0"/>
          <w:marTop w:val="0"/>
          <w:marBottom w:val="30"/>
          <w:divBdr>
            <w:top w:val="none" w:sz="0" w:space="0" w:color="auto"/>
            <w:left w:val="none" w:sz="0" w:space="0" w:color="auto"/>
            <w:bottom w:val="none" w:sz="0" w:space="0" w:color="auto"/>
            <w:right w:val="none" w:sz="0" w:space="0" w:color="auto"/>
          </w:divBdr>
        </w:div>
        <w:div w:id="1927155905">
          <w:marLeft w:val="0"/>
          <w:marRight w:val="-2652"/>
          <w:marTop w:val="0"/>
          <w:marBottom w:val="0"/>
          <w:divBdr>
            <w:top w:val="none" w:sz="0" w:space="0" w:color="auto"/>
            <w:left w:val="none" w:sz="0" w:space="0" w:color="auto"/>
            <w:bottom w:val="none" w:sz="0" w:space="0" w:color="auto"/>
            <w:right w:val="none" w:sz="0" w:space="0" w:color="auto"/>
          </w:divBdr>
          <w:divsChild>
            <w:div w:id="487865066">
              <w:marLeft w:val="0"/>
              <w:marRight w:val="2652"/>
              <w:marTop w:val="0"/>
              <w:marBottom w:val="0"/>
              <w:divBdr>
                <w:top w:val="none" w:sz="0" w:space="0" w:color="auto"/>
                <w:left w:val="none" w:sz="0" w:space="0" w:color="auto"/>
                <w:bottom w:val="none" w:sz="0" w:space="0" w:color="auto"/>
                <w:right w:val="none" w:sz="0" w:space="0" w:color="auto"/>
              </w:divBdr>
            </w:div>
            <w:div w:id="791676811">
              <w:marLeft w:val="0"/>
              <w:marRight w:val="2652"/>
              <w:marTop w:val="0"/>
              <w:marBottom w:val="0"/>
              <w:divBdr>
                <w:top w:val="none" w:sz="0" w:space="0" w:color="auto"/>
                <w:left w:val="none" w:sz="0" w:space="0" w:color="auto"/>
                <w:bottom w:val="none" w:sz="0" w:space="0" w:color="auto"/>
                <w:right w:val="none" w:sz="0" w:space="0" w:color="auto"/>
              </w:divBdr>
            </w:div>
          </w:divsChild>
        </w:div>
        <w:div w:id="1203522064">
          <w:marLeft w:val="0"/>
          <w:marRight w:val="0"/>
          <w:marTop w:val="0"/>
          <w:marBottom w:val="30"/>
          <w:divBdr>
            <w:top w:val="none" w:sz="0" w:space="0" w:color="auto"/>
            <w:left w:val="none" w:sz="0" w:space="0" w:color="auto"/>
            <w:bottom w:val="none" w:sz="0" w:space="0" w:color="auto"/>
            <w:right w:val="none" w:sz="0" w:space="0" w:color="auto"/>
          </w:divBdr>
        </w:div>
        <w:div w:id="1843739086">
          <w:marLeft w:val="0"/>
          <w:marRight w:val="0"/>
          <w:marTop w:val="0"/>
          <w:marBottom w:val="30"/>
          <w:divBdr>
            <w:top w:val="none" w:sz="0" w:space="0" w:color="auto"/>
            <w:left w:val="none" w:sz="0" w:space="0" w:color="auto"/>
            <w:bottom w:val="none" w:sz="0" w:space="0" w:color="auto"/>
            <w:right w:val="none" w:sz="0" w:space="0" w:color="auto"/>
          </w:divBdr>
        </w:div>
        <w:div w:id="971445325">
          <w:marLeft w:val="0"/>
          <w:marRight w:val="0"/>
          <w:marTop w:val="0"/>
          <w:marBottom w:val="30"/>
          <w:divBdr>
            <w:top w:val="none" w:sz="0" w:space="0" w:color="auto"/>
            <w:left w:val="none" w:sz="0" w:space="0" w:color="auto"/>
            <w:bottom w:val="none" w:sz="0" w:space="0" w:color="auto"/>
            <w:right w:val="none" w:sz="0" w:space="0" w:color="auto"/>
          </w:divBdr>
        </w:div>
        <w:div w:id="1492671132">
          <w:marLeft w:val="0"/>
          <w:marRight w:val="0"/>
          <w:marTop w:val="0"/>
          <w:marBottom w:val="30"/>
          <w:divBdr>
            <w:top w:val="none" w:sz="0" w:space="0" w:color="auto"/>
            <w:left w:val="none" w:sz="0" w:space="0" w:color="auto"/>
            <w:bottom w:val="none" w:sz="0" w:space="0" w:color="auto"/>
            <w:right w:val="none" w:sz="0" w:space="0" w:color="auto"/>
          </w:divBdr>
        </w:div>
        <w:div w:id="573005460">
          <w:marLeft w:val="0"/>
          <w:marRight w:val="-2652"/>
          <w:marTop w:val="0"/>
          <w:marBottom w:val="0"/>
          <w:divBdr>
            <w:top w:val="none" w:sz="0" w:space="0" w:color="auto"/>
            <w:left w:val="none" w:sz="0" w:space="0" w:color="auto"/>
            <w:bottom w:val="none" w:sz="0" w:space="0" w:color="auto"/>
            <w:right w:val="none" w:sz="0" w:space="0" w:color="auto"/>
          </w:divBdr>
          <w:divsChild>
            <w:div w:id="228544375">
              <w:marLeft w:val="0"/>
              <w:marRight w:val="2652"/>
              <w:marTop w:val="0"/>
              <w:marBottom w:val="0"/>
              <w:divBdr>
                <w:top w:val="none" w:sz="0" w:space="0" w:color="auto"/>
                <w:left w:val="none" w:sz="0" w:space="0" w:color="auto"/>
                <w:bottom w:val="none" w:sz="0" w:space="0" w:color="auto"/>
                <w:right w:val="none" w:sz="0" w:space="0" w:color="auto"/>
              </w:divBdr>
            </w:div>
            <w:div w:id="548300608">
              <w:marLeft w:val="0"/>
              <w:marRight w:val="2652"/>
              <w:marTop w:val="0"/>
              <w:marBottom w:val="0"/>
              <w:divBdr>
                <w:top w:val="none" w:sz="0" w:space="0" w:color="auto"/>
                <w:left w:val="none" w:sz="0" w:space="0" w:color="auto"/>
                <w:bottom w:val="none" w:sz="0" w:space="0" w:color="auto"/>
                <w:right w:val="none" w:sz="0" w:space="0" w:color="auto"/>
              </w:divBdr>
            </w:div>
          </w:divsChild>
        </w:div>
        <w:div w:id="1872451703">
          <w:marLeft w:val="0"/>
          <w:marRight w:val="0"/>
          <w:marTop w:val="0"/>
          <w:marBottom w:val="30"/>
          <w:divBdr>
            <w:top w:val="none" w:sz="0" w:space="0" w:color="auto"/>
            <w:left w:val="none" w:sz="0" w:space="0" w:color="auto"/>
            <w:bottom w:val="none" w:sz="0" w:space="0" w:color="auto"/>
            <w:right w:val="none" w:sz="0" w:space="0" w:color="auto"/>
          </w:divBdr>
        </w:div>
        <w:div w:id="2021420678">
          <w:marLeft w:val="0"/>
          <w:marRight w:val="0"/>
          <w:marTop w:val="0"/>
          <w:marBottom w:val="30"/>
          <w:divBdr>
            <w:top w:val="none" w:sz="0" w:space="0" w:color="auto"/>
            <w:left w:val="none" w:sz="0" w:space="0" w:color="auto"/>
            <w:bottom w:val="none" w:sz="0" w:space="0" w:color="auto"/>
            <w:right w:val="none" w:sz="0" w:space="0" w:color="auto"/>
          </w:divBdr>
        </w:div>
        <w:div w:id="1086994827">
          <w:marLeft w:val="0"/>
          <w:marRight w:val="0"/>
          <w:marTop w:val="0"/>
          <w:marBottom w:val="30"/>
          <w:divBdr>
            <w:top w:val="none" w:sz="0" w:space="0" w:color="auto"/>
            <w:left w:val="none" w:sz="0" w:space="0" w:color="auto"/>
            <w:bottom w:val="none" w:sz="0" w:space="0" w:color="auto"/>
            <w:right w:val="none" w:sz="0" w:space="0" w:color="auto"/>
          </w:divBdr>
        </w:div>
        <w:div w:id="300380084">
          <w:marLeft w:val="0"/>
          <w:marRight w:val="0"/>
          <w:marTop w:val="0"/>
          <w:marBottom w:val="30"/>
          <w:divBdr>
            <w:top w:val="none" w:sz="0" w:space="0" w:color="auto"/>
            <w:left w:val="none" w:sz="0" w:space="0" w:color="auto"/>
            <w:bottom w:val="none" w:sz="0" w:space="0" w:color="auto"/>
            <w:right w:val="none" w:sz="0" w:space="0" w:color="auto"/>
          </w:divBdr>
        </w:div>
        <w:div w:id="1875342277">
          <w:marLeft w:val="0"/>
          <w:marRight w:val="-2652"/>
          <w:marTop w:val="0"/>
          <w:marBottom w:val="0"/>
          <w:divBdr>
            <w:top w:val="none" w:sz="0" w:space="0" w:color="auto"/>
            <w:left w:val="none" w:sz="0" w:space="0" w:color="auto"/>
            <w:bottom w:val="none" w:sz="0" w:space="0" w:color="auto"/>
            <w:right w:val="none" w:sz="0" w:space="0" w:color="auto"/>
          </w:divBdr>
          <w:divsChild>
            <w:div w:id="1271549524">
              <w:marLeft w:val="0"/>
              <w:marRight w:val="2652"/>
              <w:marTop w:val="0"/>
              <w:marBottom w:val="0"/>
              <w:divBdr>
                <w:top w:val="none" w:sz="0" w:space="0" w:color="auto"/>
                <w:left w:val="none" w:sz="0" w:space="0" w:color="auto"/>
                <w:bottom w:val="none" w:sz="0" w:space="0" w:color="auto"/>
                <w:right w:val="none" w:sz="0" w:space="0" w:color="auto"/>
              </w:divBdr>
              <w:divsChild>
                <w:div w:id="2041398355">
                  <w:marLeft w:val="360"/>
                  <w:marRight w:val="0"/>
                  <w:marTop w:val="0"/>
                  <w:marBottom w:val="360"/>
                  <w:divBdr>
                    <w:top w:val="none" w:sz="0" w:space="0" w:color="auto"/>
                    <w:left w:val="none" w:sz="0" w:space="0" w:color="auto"/>
                    <w:bottom w:val="none" w:sz="0" w:space="0" w:color="auto"/>
                    <w:right w:val="none" w:sz="0" w:space="0" w:color="auto"/>
                  </w:divBdr>
                </w:div>
              </w:divsChild>
            </w:div>
            <w:div w:id="27918923">
              <w:marLeft w:val="0"/>
              <w:marRight w:val="2652"/>
              <w:marTop w:val="0"/>
              <w:marBottom w:val="0"/>
              <w:divBdr>
                <w:top w:val="none" w:sz="0" w:space="0" w:color="auto"/>
                <w:left w:val="none" w:sz="0" w:space="0" w:color="auto"/>
                <w:bottom w:val="none" w:sz="0" w:space="0" w:color="auto"/>
                <w:right w:val="none" w:sz="0" w:space="0" w:color="auto"/>
              </w:divBdr>
            </w:div>
          </w:divsChild>
        </w:div>
        <w:div w:id="1744596377">
          <w:marLeft w:val="0"/>
          <w:marRight w:val="0"/>
          <w:marTop w:val="0"/>
          <w:marBottom w:val="30"/>
          <w:divBdr>
            <w:top w:val="none" w:sz="0" w:space="0" w:color="auto"/>
            <w:left w:val="none" w:sz="0" w:space="0" w:color="auto"/>
            <w:bottom w:val="none" w:sz="0" w:space="0" w:color="auto"/>
            <w:right w:val="none" w:sz="0" w:space="0" w:color="auto"/>
          </w:divBdr>
        </w:div>
        <w:div w:id="725102099">
          <w:marLeft w:val="0"/>
          <w:marRight w:val="0"/>
          <w:marTop w:val="0"/>
          <w:marBottom w:val="30"/>
          <w:divBdr>
            <w:top w:val="none" w:sz="0" w:space="0" w:color="auto"/>
            <w:left w:val="none" w:sz="0" w:space="0" w:color="auto"/>
            <w:bottom w:val="none" w:sz="0" w:space="0" w:color="auto"/>
            <w:right w:val="none" w:sz="0" w:space="0" w:color="auto"/>
          </w:divBdr>
        </w:div>
        <w:div w:id="665521980">
          <w:marLeft w:val="0"/>
          <w:marRight w:val="0"/>
          <w:marTop w:val="0"/>
          <w:marBottom w:val="30"/>
          <w:divBdr>
            <w:top w:val="none" w:sz="0" w:space="0" w:color="auto"/>
            <w:left w:val="none" w:sz="0" w:space="0" w:color="auto"/>
            <w:bottom w:val="none" w:sz="0" w:space="0" w:color="auto"/>
            <w:right w:val="none" w:sz="0" w:space="0" w:color="auto"/>
          </w:divBdr>
        </w:div>
        <w:div w:id="2087267295">
          <w:marLeft w:val="0"/>
          <w:marRight w:val="0"/>
          <w:marTop w:val="0"/>
          <w:marBottom w:val="30"/>
          <w:divBdr>
            <w:top w:val="none" w:sz="0" w:space="0" w:color="auto"/>
            <w:left w:val="none" w:sz="0" w:space="0" w:color="auto"/>
            <w:bottom w:val="none" w:sz="0" w:space="0" w:color="auto"/>
            <w:right w:val="none" w:sz="0" w:space="0" w:color="auto"/>
          </w:divBdr>
        </w:div>
        <w:div w:id="1387988316">
          <w:marLeft w:val="0"/>
          <w:marRight w:val="-2652"/>
          <w:marTop w:val="0"/>
          <w:marBottom w:val="0"/>
          <w:divBdr>
            <w:top w:val="none" w:sz="0" w:space="0" w:color="auto"/>
            <w:left w:val="none" w:sz="0" w:space="0" w:color="auto"/>
            <w:bottom w:val="none" w:sz="0" w:space="0" w:color="auto"/>
            <w:right w:val="none" w:sz="0" w:space="0" w:color="auto"/>
          </w:divBdr>
          <w:divsChild>
            <w:div w:id="1502937893">
              <w:marLeft w:val="0"/>
              <w:marRight w:val="2652"/>
              <w:marTop w:val="0"/>
              <w:marBottom w:val="0"/>
              <w:divBdr>
                <w:top w:val="none" w:sz="0" w:space="0" w:color="auto"/>
                <w:left w:val="none" w:sz="0" w:space="0" w:color="auto"/>
                <w:bottom w:val="none" w:sz="0" w:space="0" w:color="auto"/>
                <w:right w:val="none" w:sz="0" w:space="0" w:color="auto"/>
              </w:divBdr>
              <w:divsChild>
                <w:div w:id="204563828">
                  <w:marLeft w:val="0"/>
                  <w:marRight w:val="0"/>
                  <w:marTop w:val="0"/>
                  <w:marBottom w:val="0"/>
                  <w:divBdr>
                    <w:top w:val="none" w:sz="0" w:space="0" w:color="auto"/>
                    <w:left w:val="none" w:sz="0" w:space="0" w:color="auto"/>
                    <w:bottom w:val="none" w:sz="0" w:space="0" w:color="auto"/>
                    <w:right w:val="none" w:sz="0" w:space="0" w:color="auto"/>
                  </w:divBdr>
                </w:div>
                <w:div w:id="2084058989">
                  <w:marLeft w:val="0"/>
                  <w:marRight w:val="0"/>
                  <w:marTop w:val="0"/>
                  <w:marBottom w:val="0"/>
                  <w:divBdr>
                    <w:top w:val="none" w:sz="0" w:space="0" w:color="auto"/>
                    <w:left w:val="none" w:sz="0" w:space="0" w:color="auto"/>
                    <w:bottom w:val="none" w:sz="0" w:space="0" w:color="auto"/>
                    <w:right w:val="none" w:sz="0" w:space="0" w:color="auto"/>
                  </w:divBdr>
                  <w:divsChild>
                    <w:div w:id="1101953866">
                      <w:marLeft w:val="0"/>
                      <w:marRight w:val="360"/>
                      <w:marTop w:val="0"/>
                      <w:marBottom w:val="360"/>
                      <w:divBdr>
                        <w:top w:val="none" w:sz="0" w:space="0" w:color="auto"/>
                        <w:left w:val="none" w:sz="0" w:space="0" w:color="auto"/>
                        <w:bottom w:val="none" w:sz="0" w:space="0" w:color="auto"/>
                        <w:right w:val="none" w:sz="0" w:space="0" w:color="auto"/>
                      </w:divBdr>
                    </w:div>
                  </w:divsChild>
                </w:div>
                <w:div w:id="1519543854">
                  <w:marLeft w:val="0"/>
                  <w:marRight w:val="0"/>
                  <w:marTop w:val="0"/>
                  <w:marBottom w:val="0"/>
                  <w:divBdr>
                    <w:top w:val="none" w:sz="0" w:space="0" w:color="auto"/>
                    <w:left w:val="none" w:sz="0" w:space="0" w:color="auto"/>
                    <w:bottom w:val="none" w:sz="0" w:space="0" w:color="auto"/>
                    <w:right w:val="none" w:sz="0" w:space="0" w:color="auto"/>
                  </w:divBdr>
                </w:div>
                <w:div w:id="321543610">
                  <w:marLeft w:val="0"/>
                  <w:marRight w:val="0"/>
                  <w:marTop w:val="0"/>
                  <w:marBottom w:val="0"/>
                  <w:divBdr>
                    <w:top w:val="none" w:sz="0" w:space="0" w:color="auto"/>
                    <w:left w:val="none" w:sz="0" w:space="0" w:color="auto"/>
                    <w:bottom w:val="none" w:sz="0" w:space="0" w:color="auto"/>
                    <w:right w:val="none" w:sz="0" w:space="0" w:color="auto"/>
                  </w:divBdr>
                </w:div>
              </w:divsChild>
            </w:div>
            <w:div w:id="860704178">
              <w:marLeft w:val="0"/>
              <w:marRight w:val="2652"/>
              <w:marTop w:val="0"/>
              <w:marBottom w:val="0"/>
              <w:divBdr>
                <w:top w:val="none" w:sz="0" w:space="0" w:color="auto"/>
                <w:left w:val="none" w:sz="0" w:space="0" w:color="auto"/>
                <w:bottom w:val="none" w:sz="0" w:space="0" w:color="auto"/>
                <w:right w:val="none" w:sz="0" w:space="0" w:color="auto"/>
              </w:divBdr>
            </w:div>
          </w:divsChild>
        </w:div>
        <w:div w:id="743185272">
          <w:marLeft w:val="0"/>
          <w:marRight w:val="0"/>
          <w:marTop w:val="0"/>
          <w:marBottom w:val="30"/>
          <w:divBdr>
            <w:top w:val="none" w:sz="0" w:space="0" w:color="auto"/>
            <w:left w:val="none" w:sz="0" w:space="0" w:color="auto"/>
            <w:bottom w:val="none" w:sz="0" w:space="0" w:color="auto"/>
            <w:right w:val="none" w:sz="0" w:space="0" w:color="auto"/>
          </w:divBdr>
        </w:div>
        <w:div w:id="1624657354">
          <w:marLeft w:val="0"/>
          <w:marRight w:val="0"/>
          <w:marTop w:val="0"/>
          <w:marBottom w:val="30"/>
          <w:divBdr>
            <w:top w:val="none" w:sz="0" w:space="0" w:color="auto"/>
            <w:left w:val="none" w:sz="0" w:space="0" w:color="auto"/>
            <w:bottom w:val="none" w:sz="0" w:space="0" w:color="auto"/>
            <w:right w:val="none" w:sz="0" w:space="0" w:color="auto"/>
          </w:divBdr>
        </w:div>
        <w:div w:id="1831093469">
          <w:marLeft w:val="0"/>
          <w:marRight w:val="0"/>
          <w:marTop w:val="0"/>
          <w:marBottom w:val="30"/>
          <w:divBdr>
            <w:top w:val="none" w:sz="0" w:space="0" w:color="auto"/>
            <w:left w:val="none" w:sz="0" w:space="0" w:color="auto"/>
            <w:bottom w:val="none" w:sz="0" w:space="0" w:color="auto"/>
            <w:right w:val="none" w:sz="0" w:space="0" w:color="auto"/>
          </w:divBdr>
        </w:div>
        <w:div w:id="1753088440">
          <w:marLeft w:val="0"/>
          <w:marRight w:val="0"/>
          <w:marTop w:val="0"/>
          <w:marBottom w:val="30"/>
          <w:divBdr>
            <w:top w:val="none" w:sz="0" w:space="0" w:color="auto"/>
            <w:left w:val="none" w:sz="0" w:space="0" w:color="auto"/>
            <w:bottom w:val="none" w:sz="0" w:space="0" w:color="auto"/>
            <w:right w:val="none" w:sz="0" w:space="0" w:color="auto"/>
          </w:divBdr>
        </w:div>
        <w:div w:id="1297177163">
          <w:marLeft w:val="0"/>
          <w:marRight w:val="-2652"/>
          <w:marTop w:val="0"/>
          <w:marBottom w:val="0"/>
          <w:divBdr>
            <w:top w:val="none" w:sz="0" w:space="0" w:color="auto"/>
            <w:left w:val="none" w:sz="0" w:space="0" w:color="auto"/>
            <w:bottom w:val="none" w:sz="0" w:space="0" w:color="auto"/>
            <w:right w:val="none" w:sz="0" w:space="0" w:color="auto"/>
          </w:divBdr>
          <w:divsChild>
            <w:div w:id="1174877636">
              <w:marLeft w:val="0"/>
              <w:marRight w:val="2652"/>
              <w:marTop w:val="0"/>
              <w:marBottom w:val="0"/>
              <w:divBdr>
                <w:top w:val="none" w:sz="0" w:space="0" w:color="auto"/>
                <w:left w:val="none" w:sz="0" w:space="0" w:color="auto"/>
                <w:bottom w:val="none" w:sz="0" w:space="0" w:color="auto"/>
                <w:right w:val="none" w:sz="0" w:space="0" w:color="auto"/>
              </w:divBdr>
              <w:divsChild>
                <w:div w:id="2077513466">
                  <w:marLeft w:val="360"/>
                  <w:marRight w:val="0"/>
                  <w:marTop w:val="0"/>
                  <w:marBottom w:val="360"/>
                  <w:divBdr>
                    <w:top w:val="none" w:sz="0" w:space="0" w:color="auto"/>
                    <w:left w:val="none" w:sz="0" w:space="0" w:color="auto"/>
                    <w:bottom w:val="none" w:sz="0" w:space="0" w:color="auto"/>
                    <w:right w:val="none" w:sz="0" w:space="0" w:color="auto"/>
                  </w:divBdr>
                </w:div>
              </w:divsChild>
            </w:div>
            <w:div w:id="882212344">
              <w:marLeft w:val="0"/>
              <w:marRight w:val="2652"/>
              <w:marTop w:val="0"/>
              <w:marBottom w:val="0"/>
              <w:divBdr>
                <w:top w:val="none" w:sz="0" w:space="0" w:color="auto"/>
                <w:left w:val="none" w:sz="0" w:space="0" w:color="auto"/>
                <w:bottom w:val="none" w:sz="0" w:space="0" w:color="auto"/>
                <w:right w:val="none" w:sz="0" w:space="0" w:color="auto"/>
              </w:divBdr>
            </w:div>
          </w:divsChild>
        </w:div>
        <w:div w:id="480854128">
          <w:marLeft w:val="0"/>
          <w:marRight w:val="0"/>
          <w:marTop w:val="0"/>
          <w:marBottom w:val="30"/>
          <w:divBdr>
            <w:top w:val="none" w:sz="0" w:space="0" w:color="auto"/>
            <w:left w:val="none" w:sz="0" w:space="0" w:color="auto"/>
            <w:bottom w:val="none" w:sz="0" w:space="0" w:color="auto"/>
            <w:right w:val="none" w:sz="0" w:space="0" w:color="auto"/>
          </w:divBdr>
        </w:div>
        <w:div w:id="357975270">
          <w:marLeft w:val="0"/>
          <w:marRight w:val="0"/>
          <w:marTop w:val="0"/>
          <w:marBottom w:val="30"/>
          <w:divBdr>
            <w:top w:val="none" w:sz="0" w:space="0" w:color="auto"/>
            <w:left w:val="none" w:sz="0" w:space="0" w:color="auto"/>
            <w:bottom w:val="none" w:sz="0" w:space="0" w:color="auto"/>
            <w:right w:val="none" w:sz="0" w:space="0" w:color="auto"/>
          </w:divBdr>
        </w:div>
        <w:div w:id="1210724426">
          <w:marLeft w:val="0"/>
          <w:marRight w:val="0"/>
          <w:marTop w:val="0"/>
          <w:marBottom w:val="30"/>
          <w:divBdr>
            <w:top w:val="none" w:sz="0" w:space="0" w:color="auto"/>
            <w:left w:val="none" w:sz="0" w:space="0" w:color="auto"/>
            <w:bottom w:val="none" w:sz="0" w:space="0" w:color="auto"/>
            <w:right w:val="none" w:sz="0" w:space="0" w:color="auto"/>
          </w:divBdr>
        </w:div>
        <w:div w:id="271322064">
          <w:marLeft w:val="0"/>
          <w:marRight w:val="0"/>
          <w:marTop w:val="0"/>
          <w:marBottom w:val="30"/>
          <w:divBdr>
            <w:top w:val="none" w:sz="0" w:space="0" w:color="auto"/>
            <w:left w:val="none" w:sz="0" w:space="0" w:color="auto"/>
            <w:bottom w:val="none" w:sz="0" w:space="0" w:color="auto"/>
            <w:right w:val="none" w:sz="0" w:space="0" w:color="auto"/>
          </w:divBdr>
        </w:div>
        <w:div w:id="1451435502">
          <w:marLeft w:val="0"/>
          <w:marRight w:val="0"/>
          <w:marTop w:val="0"/>
          <w:marBottom w:val="0"/>
          <w:divBdr>
            <w:top w:val="none" w:sz="0" w:space="0" w:color="auto"/>
            <w:left w:val="none" w:sz="0" w:space="0" w:color="auto"/>
            <w:bottom w:val="none" w:sz="0" w:space="0" w:color="auto"/>
            <w:right w:val="none" w:sz="0" w:space="0" w:color="auto"/>
          </w:divBdr>
          <w:divsChild>
            <w:div w:id="1299265159">
              <w:marLeft w:val="0"/>
              <w:marRight w:val="-2652"/>
              <w:marTop w:val="0"/>
              <w:marBottom w:val="0"/>
              <w:divBdr>
                <w:top w:val="none" w:sz="0" w:space="0" w:color="auto"/>
                <w:left w:val="none" w:sz="0" w:space="0" w:color="auto"/>
                <w:bottom w:val="none" w:sz="0" w:space="0" w:color="auto"/>
                <w:right w:val="none" w:sz="0" w:space="0" w:color="auto"/>
              </w:divBdr>
              <w:divsChild>
                <w:div w:id="649018676">
                  <w:marLeft w:val="0"/>
                  <w:marRight w:val="2652"/>
                  <w:marTop w:val="0"/>
                  <w:marBottom w:val="0"/>
                  <w:divBdr>
                    <w:top w:val="none" w:sz="0" w:space="0" w:color="auto"/>
                    <w:left w:val="none" w:sz="0" w:space="0" w:color="auto"/>
                    <w:bottom w:val="none" w:sz="0" w:space="0" w:color="auto"/>
                    <w:right w:val="none" w:sz="0" w:space="0" w:color="auto"/>
                  </w:divBdr>
                </w:div>
                <w:div w:id="555048762">
                  <w:marLeft w:val="0"/>
                  <w:marRight w:val="2652"/>
                  <w:marTop w:val="0"/>
                  <w:marBottom w:val="0"/>
                  <w:divBdr>
                    <w:top w:val="none" w:sz="0" w:space="0" w:color="auto"/>
                    <w:left w:val="none" w:sz="0" w:space="0" w:color="auto"/>
                    <w:bottom w:val="none" w:sz="0" w:space="0" w:color="auto"/>
                    <w:right w:val="none" w:sz="0" w:space="0" w:color="auto"/>
                  </w:divBdr>
                </w:div>
              </w:divsChild>
            </w:div>
            <w:div w:id="1691711981">
              <w:marLeft w:val="0"/>
              <w:marRight w:val="0"/>
              <w:marTop w:val="0"/>
              <w:marBottom w:val="30"/>
              <w:divBdr>
                <w:top w:val="none" w:sz="0" w:space="0" w:color="auto"/>
                <w:left w:val="none" w:sz="0" w:space="0" w:color="auto"/>
                <w:bottom w:val="none" w:sz="0" w:space="0" w:color="auto"/>
                <w:right w:val="none" w:sz="0" w:space="0" w:color="auto"/>
              </w:divBdr>
            </w:div>
            <w:div w:id="681978200">
              <w:marLeft w:val="0"/>
              <w:marRight w:val="0"/>
              <w:marTop w:val="0"/>
              <w:marBottom w:val="30"/>
              <w:divBdr>
                <w:top w:val="none" w:sz="0" w:space="0" w:color="auto"/>
                <w:left w:val="none" w:sz="0" w:space="0" w:color="auto"/>
                <w:bottom w:val="none" w:sz="0" w:space="0" w:color="auto"/>
                <w:right w:val="none" w:sz="0" w:space="0" w:color="auto"/>
              </w:divBdr>
            </w:div>
            <w:div w:id="487672214">
              <w:marLeft w:val="0"/>
              <w:marRight w:val="0"/>
              <w:marTop w:val="0"/>
              <w:marBottom w:val="30"/>
              <w:divBdr>
                <w:top w:val="none" w:sz="0" w:space="0" w:color="auto"/>
                <w:left w:val="none" w:sz="0" w:space="0" w:color="auto"/>
                <w:bottom w:val="none" w:sz="0" w:space="0" w:color="auto"/>
                <w:right w:val="none" w:sz="0" w:space="0" w:color="auto"/>
              </w:divBdr>
            </w:div>
            <w:div w:id="526524467">
              <w:marLeft w:val="0"/>
              <w:marRight w:val="0"/>
              <w:marTop w:val="0"/>
              <w:marBottom w:val="30"/>
              <w:divBdr>
                <w:top w:val="none" w:sz="0" w:space="0" w:color="auto"/>
                <w:left w:val="none" w:sz="0" w:space="0" w:color="auto"/>
                <w:bottom w:val="none" w:sz="0" w:space="0" w:color="auto"/>
                <w:right w:val="none" w:sz="0" w:space="0" w:color="auto"/>
              </w:divBdr>
            </w:div>
            <w:div w:id="1043286727">
              <w:marLeft w:val="0"/>
              <w:marRight w:val="-2652"/>
              <w:marTop w:val="0"/>
              <w:marBottom w:val="0"/>
              <w:divBdr>
                <w:top w:val="none" w:sz="0" w:space="0" w:color="auto"/>
                <w:left w:val="none" w:sz="0" w:space="0" w:color="auto"/>
                <w:bottom w:val="none" w:sz="0" w:space="0" w:color="auto"/>
                <w:right w:val="none" w:sz="0" w:space="0" w:color="auto"/>
              </w:divBdr>
              <w:divsChild>
                <w:div w:id="79959247">
                  <w:marLeft w:val="0"/>
                  <w:marRight w:val="2652"/>
                  <w:marTop w:val="0"/>
                  <w:marBottom w:val="0"/>
                  <w:divBdr>
                    <w:top w:val="none" w:sz="0" w:space="0" w:color="auto"/>
                    <w:left w:val="none" w:sz="0" w:space="0" w:color="auto"/>
                    <w:bottom w:val="none" w:sz="0" w:space="0" w:color="auto"/>
                    <w:right w:val="none" w:sz="0" w:space="0" w:color="auto"/>
                  </w:divBdr>
                  <w:divsChild>
                    <w:div w:id="1696926404">
                      <w:marLeft w:val="0"/>
                      <w:marRight w:val="0"/>
                      <w:marTop w:val="0"/>
                      <w:marBottom w:val="360"/>
                      <w:divBdr>
                        <w:top w:val="none" w:sz="0" w:space="0" w:color="auto"/>
                        <w:left w:val="none" w:sz="0" w:space="0" w:color="auto"/>
                        <w:bottom w:val="none" w:sz="0" w:space="0" w:color="auto"/>
                        <w:right w:val="none" w:sz="0" w:space="0" w:color="auto"/>
                      </w:divBdr>
                    </w:div>
                  </w:divsChild>
                </w:div>
                <w:div w:id="1465078064">
                  <w:marLeft w:val="0"/>
                  <w:marRight w:val="2652"/>
                  <w:marTop w:val="0"/>
                  <w:marBottom w:val="0"/>
                  <w:divBdr>
                    <w:top w:val="none" w:sz="0" w:space="0" w:color="auto"/>
                    <w:left w:val="none" w:sz="0" w:space="0" w:color="auto"/>
                    <w:bottom w:val="none" w:sz="0" w:space="0" w:color="auto"/>
                    <w:right w:val="none" w:sz="0" w:space="0" w:color="auto"/>
                  </w:divBdr>
                </w:div>
              </w:divsChild>
            </w:div>
            <w:div w:id="1628732154">
              <w:marLeft w:val="0"/>
              <w:marRight w:val="0"/>
              <w:marTop w:val="0"/>
              <w:marBottom w:val="30"/>
              <w:divBdr>
                <w:top w:val="none" w:sz="0" w:space="0" w:color="auto"/>
                <w:left w:val="none" w:sz="0" w:space="0" w:color="auto"/>
                <w:bottom w:val="none" w:sz="0" w:space="0" w:color="auto"/>
                <w:right w:val="none" w:sz="0" w:space="0" w:color="auto"/>
              </w:divBdr>
            </w:div>
            <w:div w:id="2071076948">
              <w:marLeft w:val="0"/>
              <w:marRight w:val="0"/>
              <w:marTop w:val="0"/>
              <w:marBottom w:val="30"/>
              <w:divBdr>
                <w:top w:val="none" w:sz="0" w:space="0" w:color="auto"/>
                <w:left w:val="none" w:sz="0" w:space="0" w:color="auto"/>
                <w:bottom w:val="none" w:sz="0" w:space="0" w:color="auto"/>
                <w:right w:val="none" w:sz="0" w:space="0" w:color="auto"/>
              </w:divBdr>
            </w:div>
            <w:div w:id="1167525487">
              <w:marLeft w:val="0"/>
              <w:marRight w:val="0"/>
              <w:marTop w:val="0"/>
              <w:marBottom w:val="30"/>
              <w:divBdr>
                <w:top w:val="none" w:sz="0" w:space="0" w:color="auto"/>
                <w:left w:val="none" w:sz="0" w:space="0" w:color="auto"/>
                <w:bottom w:val="none" w:sz="0" w:space="0" w:color="auto"/>
                <w:right w:val="none" w:sz="0" w:space="0" w:color="auto"/>
              </w:divBdr>
            </w:div>
            <w:div w:id="1753970215">
              <w:marLeft w:val="0"/>
              <w:marRight w:val="0"/>
              <w:marTop w:val="0"/>
              <w:marBottom w:val="30"/>
              <w:divBdr>
                <w:top w:val="none" w:sz="0" w:space="0" w:color="auto"/>
                <w:left w:val="none" w:sz="0" w:space="0" w:color="auto"/>
                <w:bottom w:val="none" w:sz="0" w:space="0" w:color="auto"/>
                <w:right w:val="none" w:sz="0" w:space="0" w:color="auto"/>
              </w:divBdr>
            </w:div>
            <w:div w:id="1502312807">
              <w:marLeft w:val="0"/>
              <w:marRight w:val="-2652"/>
              <w:marTop w:val="0"/>
              <w:marBottom w:val="0"/>
              <w:divBdr>
                <w:top w:val="none" w:sz="0" w:space="0" w:color="auto"/>
                <w:left w:val="none" w:sz="0" w:space="0" w:color="auto"/>
                <w:bottom w:val="none" w:sz="0" w:space="0" w:color="auto"/>
                <w:right w:val="none" w:sz="0" w:space="0" w:color="auto"/>
              </w:divBdr>
              <w:divsChild>
                <w:div w:id="1937126457">
                  <w:marLeft w:val="0"/>
                  <w:marRight w:val="2652"/>
                  <w:marTop w:val="0"/>
                  <w:marBottom w:val="0"/>
                  <w:divBdr>
                    <w:top w:val="none" w:sz="0" w:space="0" w:color="auto"/>
                    <w:left w:val="none" w:sz="0" w:space="0" w:color="auto"/>
                    <w:bottom w:val="none" w:sz="0" w:space="0" w:color="auto"/>
                    <w:right w:val="none" w:sz="0" w:space="0" w:color="auto"/>
                  </w:divBdr>
                </w:div>
                <w:div w:id="1957129403">
                  <w:marLeft w:val="0"/>
                  <w:marRight w:val="2652"/>
                  <w:marTop w:val="0"/>
                  <w:marBottom w:val="0"/>
                  <w:divBdr>
                    <w:top w:val="none" w:sz="0" w:space="0" w:color="auto"/>
                    <w:left w:val="none" w:sz="0" w:space="0" w:color="auto"/>
                    <w:bottom w:val="none" w:sz="0" w:space="0" w:color="auto"/>
                    <w:right w:val="none" w:sz="0" w:space="0" w:color="auto"/>
                  </w:divBdr>
                </w:div>
              </w:divsChild>
            </w:div>
            <w:div w:id="529690141">
              <w:marLeft w:val="0"/>
              <w:marRight w:val="0"/>
              <w:marTop w:val="0"/>
              <w:marBottom w:val="30"/>
              <w:divBdr>
                <w:top w:val="none" w:sz="0" w:space="0" w:color="auto"/>
                <w:left w:val="none" w:sz="0" w:space="0" w:color="auto"/>
                <w:bottom w:val="none" w:sz="0" w:space="0" w:color="auto"/>
                <w:right w:val="none" w:sz="0" w:space="0" w:color="auto"/>
              </w:divBdr>
            </w:div>
            <w:div w:id="2024474874">
              <w:marLeft w:val="0"/>
              <w:marRight w:val="0"/>
              <w:marTop w:val="0"/>
              <w:marBottom w:val="30"/>
              <w:divBdr>
                <w:top w:val="none" w:sz="0" w:space="0" w:color="auto"/>
                <w:left w:val="none" w:sz="0" w:space="0" w:color="auto"/>
                <w:bottom w:val="none" w:sz="0" w:space="0" w:color="auto"/>
                <w:right w:val="none" w:sz="0" w:space="0" w:color="auto"/>
              </w:divBdr>
            </w:div>
            <w:div w:id="1883595462">
              <w:marLeft w:val="0"/>
              <w:marRight w:val="0"/>
              <w:marTop w:val="0"/>
              <w:marBottom w:val="30"/>
              <w:divBdr>
                <w:top w:val="none" w:sz="0" w:space="0" w:color="auto"/>
                <w:left w:val="none" w:sz="0" w:space="0" w:color="auto"/>
                <w:bottom w:val="none" w:sz="0" w:space="0" w:color="auto"/>
                <w:right w:val="none" w:sz="0" w:space="0" w:color="auto"/>
              </w:divBdr>
            </w:div>
            <w:div w:id="1755974538">
              <w:marLeft w:val="0"/>
              <w:marRight w:val="0"/>
              <w:marTop w:val="0"/>
              <w:marBottom w:val="30"/>
              <w:divBdr>
                <w:top w:val="none" w:sz="0" w:space="0" w:color="auto"/>
                <w:left w:val="none" w:sz="0" w:space="0" w:color="auto"/>
                <w:bottom w:val="none" w:sz="0" w:space="0" w:color="auto"/>
                <w:right w:val="none" w:sz="0" w:space="0" w:color="auto"/>
              </w:divBdr>
            </w:div>
            <w:div w:id="1085423524">
              <w:marLeft w:val="0"/>
              <w:marRight w:val="-2652"/>
              <w:marTop w:val="0"/>
              <w:marBottom w:val="0"/>
              <w:divBdr>
                <w:top w:val="none" w:sz="0" w:space="0" w:color="auto"/>
                <w:left w:val="none" w:sz="0" w:space="0" w:color="auto"/>
                <w:bottom w:val="none" w:sz="0" w:space="0" w:color="auto"/>
                <w:right w:val="none" w:sz="0" w:space="0" w:color="auto"/>
              </w:divBdr>
              <w:divsChild>
                <w:div w:id="1196650712">
                  <w:marLeft w:val="0"/>
                  <w:marRight w:val="2652"/>
                  <w:marTop w:val="0"/>
                  <w:marBottom w:val="0"/>
                  <w:divBdr>
                    <w:top w:val="none" w:sz="0" w:space="0" w:color="auto"/>
                    <w:left w:val="none" w:sz="0" w:space="0" w:color="auto"/>
                    <w:bottom w:val="none" w:sz="0" w:space="0" w:color="auto"/>
                    <w:right w:val="none" w:sz="0" w:space="0" w:color="auto"/>
                  </w:divBdr>
                </w:div>
                <w:div w:id="943221772">
                  <w:marLeft w:val="0"/>
                  <w:marRight w:val="2652"/>
                  <w:marTop w:val="0"/>
                  <w:marBottom w:val="0"/>
                  <w:divBdr>
                    <w:top w:val="none" w:sz="0" w:space="0" w:color="auto"/>
                    <w:left w:val="none" w:sz="0" w:space="0" w:color="auto"/>
                    <w:bottom w:val="none" w:sz="0" w:space="0" w:color="auto"/>
                    <w:right w:val="none" w:sz="0" w:space="0" w:color="auto"/>
                  </w:divBdr>
                </w:div>
              </w:divsChild>
            </w:div>
            <w:div w:id="575941053">
              <w:marLeft w:val="0"/>
              <w:marRight w:val="0"/>
              <w:marTop w:val="0"/>
              <w:marBottom w:val="30"/>
              <w:divBdr>
                <w:top w:val="none" w:sz="0" w:space="0" w:color="auto"/>
                <w:left w:val="none" w:sz="0" w:space="0" w:color="auto"/>
                <w:bottom w:val="none" w:sz="0" w:space="0" w:color="auto"/>
                <w:right w:val="none" w:sz="0" w:space="0" w:color="auto"/>
              </w:divBdr>
            </w:div>
            <w:div w:id="1548760993">
              <w:marLeft w:val="0"/>
              <w:marRight w:val="0"/>
              <w:marTop w:val="0"/>
              <w:marBottom w:val="30"/>
              <w:divBdr>
                <w:top w:val="none" w:sz="0" w:space="0" w:color="auto"/>
                <w:left w:val="none" w:sz="0" w:space="0" w:color="auto"/>
                <w:bottom w:val="none" w:sz="0" w:space="0" w:color="auto"/>
                <w:right w:val="none" w:sz="0" w:space="0" w:color="auto"/>
              </w:divBdr>
            </w:div>
            <w:div w:id="1026717548">
              <w:marLeft w:val="0"/>
              <w:marRight w:val="0"/>
              <w:marTop w:val="0"/>
              <w:marBottom w:val="30"/>
              <w:divBdr>
                <w:top w:val="none" w:sz="0" w:space="0" w:color="auto"/>
                <w:left w:val="none" w:sz="0" w:space="0" w:color="auto"/>
                <w:bottom w:val="none" w:sz="0" w:space="0" w:color="auto"/>
                <w:right w:val="none" w:sz="0" w:space="0" w:color="auto"/>
              </w:divBdr>
            </w:div>
            <w:div w:id="248273970">
              <w:marLeft w:val="0"/>
              <w:marRight w:val="0"/>
              <w:marTop w:val="0"/>
              <w:marBottom w:val="30"/>
              <w:divBdr>
                <w:top w:val="none" w:sz="0" w:space="0" w:color="auto"/>
                <w:left w:val="none" w:sz="0" w:space="0" w:color="auto"/>
                <w:bottom w:val="none" w:sz="0" w:space="0" w:color="auto"/>
                <w:right w:val="none" w:sz="0" w:space="0" w:color="auto"/>
              </w:divBdr>
            </w:div>
            <w:div w:id="912739095">
              <w:marLeft w:val="0"/>
              <w:marRight w:val="-2652"/>
              <w:marTop w:val="0"/>
              <w:marBottom w:val="0"/>
              <w:divBdr>
                <w:top w:val="none" w:sz="0" w:space="0" w:color="auto"/>
                <w:left w:val="none" w:sz="0" w:space="0" w:color="auto"/>
                <w:bottom w:val="none" w:sz="0" w:space="0" w:color="auto"/>
                <w:right w:val="none" w:sz="0" w:space="0" w:color="auto"/>
              </w:divBdr>
              <w:divsChild>
                <w:div w:id="449710126">
                  <w:marLeft w:val="0"/>
                  <w:marRight w:val="2652"/>
                  <w:marTop w:val="0"/>
                  <w:marBottom w:val="0"/>
                  <w:divBdr>
                    <w:top w:val="none" w:sz="0" w:space="0" w:color="auto"/>
                    <w:left w:val="none" w:sz="0" w:space="0" w:color="auto"/>
                    <w:bottom w:val="none" w:sz="0" w:space="0" w:color="auto"/>
                    <w:right w:val="none" w:sz="0" w:space="0" w:color="auto"/>
                  </w:divBdr>
                </w:div>
                <w:div w:id="1347515935">
                  <w:marLeft w:val="0"/>
                  <w:marRight w:val="2652"/>
                  <w:marTop w:val="0"/>
                  <w:marBottom w:val="0"/>
                  <w:divBdr>
                    <w:top w:val="none" w:sz="0" w:space="0" w:color="auto"/>
                    <w:left w:val="none" w:sz="0" w:space="0" w:color="auto"/>
                    <w:bottom w:val="none" w:sz="0" w:space="0" w:color="auto"/>
                    <w:right w:val="none" w:sz="0" w:space="0" w:color="auto"/>
                  </w:divBdr>
                </w:div>
              </w:divsChild>
            </w:div>
            <w:div w:id="1261064774">
              <w:marLeft w:val="0"/>
              <w:marRight w:val="0"/>
              <w:marTop w:val="0"/>
              <w:marBottom w:val="30"/>
              <w:divBdr>
                <w:top w:val="none" w:sz="0" w:space="0" w:color="auto"/>
                <w:left w:val="none" w:sz="0" w:space="0" w:color="auto"/>
                <w:bottom w:val="none" w:sz="0" w:space="0" w:color="auto"/>
                <w:right w:val="none" w:sz="0" w:space="0" w:color="auto"/>
              </w:divBdr>
            </w:div>
            <w:div w:id="1704553250">
              <w:marLeft w:val="0"/>
              <w:marRight w:val="0"/>
              <w:marTop w:val="0"/>
              <w:marBottom w:val="30"/>
              <w:divBdr>
                <w:top w:val="none" w:sz="0" w:space="0" w:color="auto"/>
                <w:left w:val="none" w:sz="0" w:space="0" w:color="auto"/>
                <w:bottom w:val="none" w:sz="0" w:space="0" w:color="auto"/>
                <w:right w:val="none" w:sz="0" w:space="0" w:color="auto"/>
              </w:divBdr>
            </w:div>
            <w:div w:id="576787608">
              <w:marLeft w:val="0"/>
              <w:marRight w:val="0"/>
              <w:marTop w:val="0"/>
              <w:marBottom w:val="30"/>
              <w:divBdr>
                <w:top w:val="none" w:sz="0" w:space="0" w:color="auto"/>
                <w:left w:val="none" w:sz="0" w:space="0" w:color="auto"/>
                <w:bottom w:val="none" w:sz="0" w:space="0" w:color="auto"/>
                <w:right w:val="none" w:sz="0" w:space="0" w:color="auto"/>
              </w:divBdr>
            </w:div>
            <w:div w:id="265037690">
              <w:marLeft w:val="0"/>
              <w:marRight w:val="0"/>
              <w:marTop w:val="0"/>
              <w:marBottom w:val="30"/>
              <w:divBdr>
                <w:top w:val="none" w:sz="0" w:space="0" w:color="auto"/>
                <w:left w:val="none" w:sz="0" w:space="0" w:color="auto"/>
                <w:bottom w:val="none" w:sz="0" w:space="0" w:color="auto"/>
                <w:right w:val="none" w:sz="0" w:space="0" w:color="auto"/>
              </w:divBdr>
            </w:div>
            <w:div w:id="206452352">
              <w:marLeft w:val="0"/>
              <w:marRight w:val="-2652"/>
              <w:marTop w:val="0"/>
              <w:marBottom w:val="0"/>
              <w:divBdr>
                <w:top w:val="none" w:sz="0" w:space="0" w:color="auto"/>
                <w:left w:val="none" w:sz="0" w:space="0" w:color="auto"/>
                <w:bottom w:val="none" w:sz="0" w:space="0" w:color="auto"/>
                <w:right w:val="none" w:sz="0" w:space="0" w:color="auto"/>
              </w:divBdr>
              <w:divsChild>
                <w:div w:id="2105222627">
                  <w:marLeft w:val="0"/>
                  <w:marRight w:val="2652"/>
                  <w:marTop w:val="0"/>
                  <w:marBottom w:val="0"/>
                  <w:divBdr>
                    <w:top w:val="none" w:sz="0" w:space="0" w:color="auto"/>
                    <w:left w:val="none" w:sz="0" w:space="0" w:color="auto"/>
                    <w:bottom w:val="none" w:sz="0" w:space="0" w:color="auto"/>
                    <w:right w:val="none" w:sz="0" w:space="0" w:color="auto"/>
                  </w:divBdr>
                </w:div>
              </w:divsChild>
            </w:div>
          </w:divsChild>
        </w:div>
      </w:divsChild>
    </w:div>
    <w:div w:id="1049960356">
      <w:bodyDiv w:val="1"/>
      <w:marLeft w:val="0"/>
      <w:marRight w:val="0"/>
      <w:marTop w:val="0"/>
      <w:marBottom w:val="0"/>
      <w:divBdr>
        <w:top w:val="none" w:sz="0" w:space="0" w:color="auto"/>
        <w:left w:val="none" w:sz="0" w:space="0" w:color="auto"/>
        <w:bottom w:val="none" w:sz="0" w:space="0" w:color="auto"/>
        <w:right w:val="none" w:sz="0" w:space="0" w:color="auto"/>
      </w:divBdr>
    </w:div>
    <w:div w:id="1061754278">
      <w:bodyDiv w:val="1"/>
      <w:marLeft w:val="0"/>
      <w:marRight w:val="0"/>
      <w:marTop w:val="0"/>
      <w:marBottom w:val="0"/>
      <w:divBdr>
        <w:top w:val="none" w:sz="0" w:space="0" w:color="auto"/>
        <w:left w:val="none" w:sz="0" w:space="0" w:color="auto"/>
        <w:bottom w:val="none" w:sz="0" w:space="0" w:color="auto"/>
        <w:right w:val="none" w:sz="0" w:space="0" w:color="auto"/>
      </w:divBdr>
    </w:div>
    <w:div w:id="1074819877">
      <w:bodyDiv w:val="1"/>
      <w:marLeft w:val="0"/>
      <w:marRight w:val="0"/>
      <w:marTop w:val="0"/>
      <w:marBottom w:val="0"/>
      <w:divBdr>
        <w:top w:val="none" w:sz="0" w:space="0" w:color="auto"/>
        <w:left w:val="none" w:sz="0" w:space="0" w:color="auto"/>
        <w:bottom w:val="none" w:sz="0" w:space="0" w:color="auto"/>
        <w:right w:val="none" w:sz="0" w:space="0" w:color="auto"/>
      </w:divBdr>
    </w:div>
    <w:div w:id="1075586199">
      <w:bodyDiv w:val="1"/>
      <w:marLeft w:val="0"/>
      <w:marRight w:val="0"/>
      <w:marTop w:val="0"/>
      <w:marBottom w:val="0"/>
      <w:divBdr>
        <w:top w:val="none" w:sz="0" w:space="0" w:color="auto"/>
        <w:left w:val="none" w:sz="0" w:space="0" w:color="auto"/>
        <w:bottom w:val="none" w:sz="0" w:space="0" w:color="auto"/>
        <w:right w:val="none" w:sz="0" w:space="0" w:color="auto"/>
      </w:divBdr>
    </w:div>
    <w:div w:id="1084493959">
      <w:bodyDiv w:val="1"/>
      <w:marLeft w:val="0"/>
      <w:marRight w:val="0"/>
      <w:marTop w:val="0"/>
      <w:marBottom w:val="0"/>
      <w:divBdr>
        <w:top w:val="none" w:sz="0" w:space="0" w:color="auto"/>
        <w:left w:val="none" w:sz="0" w:space="0" w:color="auto"/>
        <w:bottom w:val="none" w:sz="0" w:space="0" w:color="auto"/>
        <w:right w:val="none" w:sz="0" w:space="0" w:color="auto"/>
      </w:divBdr>
    </w:div>
    <w:div w:id="1085343969">
      <w:bodyDiv w:val="1"/>
      <w:marLeft w:val="0"/>
      <w:marRight w:val="0"/>
      <w:marTop w:val="0"/>
      <w:marBottom w:val="0"/>
      <w:divBdr>
        <w:top w:val="none" w:sz="0" w:space="0" w:color="auto"/>
        <w:left w:val="none" w:sz="0" w:space="0" w:color="auto"/>
        <w:bottom w:val="none" w:sz="0" w:space="0" w:color="auto"/>
        <w:right w:val="none" w:sz="0" w:space="0" w:color="auto"/>
      </w:divBdr>
    </w:div>
    <w:div w:id="1092320569">
      <w:bodyDiv w:val="1"/>
      <w:marLeft w:val="0"/>
      <w:marRight w:val="0"/>
      <w:marTop w:val="0"/>
      <w:marBottom w:val="0"/>
      <w:divBdr>
        <w:top w:val="none" w:sz="0" w:space="0" w:color="auto"/>
        <w:left w:val="none" w:sz="0" w:space="0" w:color="auto"/>
        <w:bottom w:val="none" w:sz="0" w:space="0" w:color="auto"/>
        <w:right w:val="none" w:sz="0" w:space="0" w:color="auto"/>
      </w:divBdr>
    </w:div>
    <w:div w:id="1095126175">
      <w:bodyDiv w:val="1"/>
      <w:marLeft w:val="0"/>
      <w:marRight w:val="0"/>
      <w:marTop w:val="0"/>
      <w:marBottom w:val="0"/>
      <w:divBdr>
        <w:top w:val="none" w:sz="0" w:space="0" w:color="auto"/>
        <w:left w:val="none" w:sz="0" w:space="0" w:color="auto"/>
        <w:bottom w:val="none" w:sz="0" w:space="0" w:color="auto"/>
        <w:right w:val="none" w:sz="0" w:space="0" w:color="auto"/>
      </w:divBdr>
    </w:div>
    <w:div w:id="1096708524">
      <w:bodyDiv w:val="1"/>
      <w:marLeft w:val="0"/>
      <w:marRight w:val="0"/>
      <w:marTop w:val="0"/>
      <w:marBottom w:val="0"/>
      <w:divBdr>
        <w:top w:val="none" w:sz="0" w:space="0" w:color="auto"/>
        <w:left w:val="none" w:sz="0" w:space="0" w:color="auto"/>
        <w:bottom w:val="none" w:sz="0" w:space="0" w:color="auto"/>
        <w:right w:val="none" w:sz="0" w:space="0" w:color="auto"/>
      </w:divBdr>
    </w:div>
    <w:div w:id="1098449457">
      <w:bodyDiv w:val="1"/>
      <w:marLeft w:val="0"/>
      <w:marRight w:val="0"/>
      <w:marTop w:val="0"/>
      <w:marBottom w:val="0"/>
      <w:divBdr>
        <w:top w:val="none" w:sz="0" w:space="0" w:color="auto"/>
        <w:left w:val="none" w:sz="0" w:space="0" w:color="auto"/>
        <w:bottom w:val="none" w:sz="0" w:space="0" w:color="auto"/>
        <w:right w:val="none" w:sz="0" w:space="0" w:color="auto"/>
      </w:divBdr>
    </w:div>
    <w:div w:id="1108234496">
      <w:bodyDiv w:val="1"/>
      <w:marLeft w:val="0"/>
      <w:marRight w:val="0"/>
      <w:marTop w:val="0"/>
      <w:marBottom w:val="0"/>
      <w:divBdr>
        <w:top w:val="none" w:sz="0" w:space="0" w:color="auto"/>
        <w:left w:val="none" w:sz="0" w:space="0" w:color="auto"/>
        <w:bottom w:val="none" w:sz="0" w:space="0" w:color="auto"/>
        <w:right w:val="none" w:sz="0" w:space="0" w:color="auto"/>
      </w:divBdr>
    </w:div>
    <w:div w:id="1109205823">
      <w:bodyDiv w:val="1"/>
      <w:marLeft w:val="0"/>
      <w:marRight w:val="0"/>
      <w:marTop w:val="0"/>
      <w:marBottom w:val="0"/>
      <w:divBdr>
        <w:top w:val="none" w:sz="0" w:space="0" w:color="auto"/>
        <w:left w:val="none" w:sz="0" w:space="0" w:color="auto"/>
        <w:bottom w:val="none" w:sz="0" w:space="0" w:color="auto"/>
        <w:right w:val="none" w:sz="0" w:space="0" w:color="auto"/>
      </w:divBdr>
      <w:divsChild>
        <w:div w:id="1204634093">
          <w:marLeft w:val="360"/>
          <w:marRight w:val="0"/>
          <w:marTop w:val="0"/>
          <w:marBottom w:val="360"/>
          <w:divBdr>
            <w:top w:val="none" w:sz="0" w:space="0" w:color="auto"/>
            <w:left w:val="none" w:sz="0" w:space="0" w:color="auto"/>
            <w:bottom w:val="none" w:sz="0" w:space="0" w:color="auto"/>
            <w:right w:val="none" w:sz="0" w:space="0" w:color="auto"/>
          </w:divBdr>
        </w:div>
      </w:divsChild>
    </w:div>
    <w:div w:id="1128624341">
      <w:bodyDiv w:val="1"/>
      <w:marLeft w:val="0"/>
      <w:marRight w:val="0"/>
      <w:marTop w:val="0"/>
      <w:marBottom w:val="0"/>
      <w:divBdr>
        <w:top w:val="none" w:sz="0" w:space="0" w:color="auto"/>
        <w:left w:val="none" w:sz="0" w:space="0" w:color="auto"/>
        <w:bottom w:val="none" w:sz="0" w:space="0" w:color="auto"/>
        <w:right w:val="none" w:sz="0" w:space="0" w:color="auto"/>
      </w:divBdr>
      <w:divsChild>
        <w:div w:id="944507299">
          <w:marLeft w:val="0"/>
          <w:marRight w:val="-2100"/>
          <w:marTop w:val="0"/>
          <w:marBottom w:val="0"/>
          <w:divBdr>
            <w:top w:val="none" w:sz="0" w:space="0" w:color="auto"/>
            <w:left w:val="none" w:sz="0" w:space="0" w:color="auto"/>
            <w:bottom w:val="none" w:sz="0" w:space="0" w:color="auto"/>
            <w:right w:val="none" w:sz="0" w:space="0" w:color="auto"/>
          </w:divBdr>
          <w:divsChild>
            <w:div w:id="368264317">
              <w:marLeft w:val="0"/>
              <w:marRight w:val="2100"/>
              <w:marTop w:val="0"/>
              <w:marBottom w:val="0"/>
              <w:divBdr>
                <w:top w:val="none" w:sz="0" w:space="0" w:color="auto"/>
                <w:left w:val="none" w:sz="0" w:space="0" w:color="auto"/>
                <w:bottom w:val="none" w:sz="0" w:space="0" w:color="auto"/>
                <w:right w:val="none" w:sz="0" w:space="0" w:color="auto"/>
              </w:divBdr>
            </w:div>
            <w:div w:id="68577545">
              <w:marLeft w:val="0"/>
              <w:marRight w:val="2100"/>
              <w:marTop w:val="0"/>
              <w:marBottom w:val="0"/>
              <w:divBdr>
                <w:top w:val="none" w:sz="0" w:space="0" w:color="auto"/>
                <w:left w:val="none" w:sz="0" w:space="0" w:color="auto"/>
                <w:bottom w:val="none" w:sz="0" w:space="0" w:color="auto"/>
                <w:right w:val="none" w:sz="0" w:space="0" w:color="auto"/>
              </w:divBdr>
            </w:div>
          </w:divsChild>
        </w:div>
        <w:div w:id="1248998416">
          <w:marLeft w:val="0"/>
          <w:marRight w:val="0"/>
          <w:marTop w:val="0"/>
          <w:marBottom w:val="30"/>
          <w:divBdr>
            <w:top w:val="none" w:sz="0" w:space="0" w:color="auto"/>
            <w:left w:val="none" w:sz="0" w:space="0" w:color="auto"/>
            <w:bottom w:val="none" w:sz="0" w:space="0" w:color="auto"/>
            <w:right w:val="none" w:sz="0" w:space="0" w:color="auto"/>
          </w:divBdr>
        </w:div>
        <w:div w:id="1544093927">
          <w:marLeft w:val="0"/>
          <w:marRight w:val="0"/>
          <w:marTop w:val="0"/>
          <w:marBottom w:val="30"/>
          <w:divBdr>
            <w:top w:val="none" w:sz="0" w:space="0" w:color="auto"/>
            <w:left w:val="none" w:sz="0" w:space="0" w:color="auto"/>
            <w:bottom w:val="none" w:sz="0" w:space="0" w:color="auto"/>
            <w:right w:val="none" w:sz="0" w:space="0" w:color="auto"/>
          </w:divBdr>
        </w:div>
        <w:div w:id="406459589">
          <w:marLeft w:val="0"/>
          <w:marRight w:val="0"/>
          <w:marTop w:val="0"/>
          <w:marBottom w:val="30"/>
          <w:divBdr>
            <w:top w:val="none" w:sz="0" w:space="0" w:color="auto"/>
            <w:left w:val="none" w:sz="0" w:space="0" w:color="auto"/>
            <w:bottom w:val="none" w:sz="0" w:space="0" w:color="auto"/>
            <w:right w:val="none" w:sz="0" w:space="0" w:color="auto"/>
          </w:divBdr>
        </w:div>
        <w:div w:id="1788743755">
          <w:marLeft w:val="0"/>
          <w:marRight w:val="0"/>
          <w:marTop w:val="0"/>
          <w:marBottom w:val="30"/>
          <w:divBdr>
            <w:top w:val="none" w:sz="0" w:space="0" w:color="auto"/>
            <w:left w:val="none" w:sz="0" w:space="0" w:color="auto"/>
            <w:bottom w:val="none" w:sz="0" w:space="0" w:color="auto"/>
            <w:right w:val="none" w:sz="0" w:space="0" w:color="auto"/>
          </w:divBdr>
        </w:div>
        <w:div w:id="551966268">
          <w:marLeft w:val="0"/>
          <w:marRight w:val="-2100"/>
          <w:marTop w:val="0"/>
          <w:marBottom w:val="0"/>
          <w:divBdr>
            <w:top w:val="none" w:sz="0" w:space="0" w:color="auto"/>
            <w:left w:val="none" w:sz="0" w:space="0" w:color="auto"/>
            <w:bottom w:val="none" w:sz="0" w:space="0" w:color="auto"/>
            <w:right w:val="none" w:sz="0" w:space="0" w:color="auto"/>
          </w:divBdr>
          <w:divsChild>
            <w:div w:id="1353729814">
              <w:marLeft w:val="0"/>
              <w:marRight w:val="2100"/>
              <w:marTop w:val="0"/>
              <w:marBottom w:val="0"/>
              <w:divBdr>
                <w:top w:val="none" w:sz="0" w:space="0" w:color="auto"/>
                <w:left w:val="none" w:sz="0" w:space="0" w:color="auto"/>
                <w:bottom w:val="none" w:sz="0" w:space="0" w:color="auto"/>
                <w:right w:val="none" w:sz="0" w:space="0" w:color="auto"/>
              </w:divBdr>
            </w:div>
            <w:div w:id="924411468">
              <w:marLeft w:val="0"/>
              <w:marRight w:val="2100"/>
              <w:marTop w:val="0"/>
              <w:marBottom w:val="0"/>
              <w:divBdr>
                <w:top w:val="none" w:sz="0" w:space="0" w:color="auto"/>
                <w:left w:val="none" w:sz="0" w:space="0" w:color="auto"/>
                <w:bottom w:val="none" w:sz="0" w:space="0" w:color="auto"/>
                <w:right w:val="none" w:sz="0" w:space="0" w:color="auto"/>
              </w:divBdr>
            </w:div>
          </w:divsChild>
        </w:div>
        <w:div w:id="1780829338">
          <w:marLeft w:val="0"/>
          <w:marRight w:val="0"/>
          <w:marTop w:val="0"/>
          <w:marBottom w:val="30"/>
          <w:divBdr>
            <w:top w:val="none" w:sz="0" w:space="0" w:color="auto"/>
            <w:left w:val="none" w:sz="0" w:space="0" w:color="auto"/>
            <w:bottom w:val="none" w:sz="0" w:space="0" w:color="auto"/>
            <w:right w:val="none" w:sz="0" w:space="0" w:color="auto"/>
          </w:divBdr>
        </w:div>
        <w:div w:id="1384596355">
          <w:marLeft w:val="0"/>
          <w:marRight w:val="0"/>
          <w:marTop w:val="0"/>
          <w:marBottom w:val="30"/>
          <w:divBdr>
            <w:top w:val="none" w:sz="0" w:space="0" w:color="auto"/>
            <w:left w:val="none" w:sz="0" w:space="0" w:color="auto"/>
            <w:bottom w:val="none" w:sz="0" w:space="0" w:color="auto"/>
            <w:right w:val="none" w:sz="0" w:space="0" w:color="auto"/>
          </w:divBdr>
        </w:div>
        <w:div w:id="120651948">
          <w:marLeft w:val="0"/>
          <w:marRight w:val="0"/>
          <w:marTop w:val="0"/>
          <w:marBottom w:val="30"/>
          <w:divBdr>
            <w:top w:val="none" w:sz="0" w:space="0" w:color="auto"/>
            <w:left w:val="none" w:sz="0" w:space="0" w:color="auto"/>
            <w:bottom w:val="none" w:sz="0" w:space="0" w:color="auto"/>
            <w:right w:val="none" w:sz="0" w:space="0" w:color="auto"/>
          </w:divBdr>
        </w:div>
        <w:div w:id="1223249015">
          <w:marLeft w:val="0"/>
          <w:marRight w:val="0"/>
          <w:marTop w:val="0"/>
          <w:marBottom w:val="30"/>
          <w:divBdr>
            <w:top w:val="none" w:sz="0" w:space="0" w:color="auto"/>
            <w:left w:val="none" w:sz="0" w:space="0" w:color="auto"/>
            <w:bottom w:val="none" w:sz="0" w:space="0" w:color="auto"/>
            <w:right w:val="none" w:sz="0" w:space="0" w:color="auto"/>
          </w:divBdr>
        </w:div>
        <w:div w:id="832768377">
          <w:marLeft w:val="0"/>
          <w:marRight w:val="-2100"/>
          <w:marTop w:val="0"/>
          <w:marBottom w:val="0"/>
          <w:divBdr>
            <w:top w:val="none" w:sz="0" w:space="0" w:color="auto"/>
            <w:left w:val="none" w:sz="0" w:space="0" w:color="auto"/>
            <w:bottom w:val="none" w:sz="0" w:space="0" w:color="auto"/>
            <w:right w:val="none" w:sz="0" w:space="0" w:color="auto"/>
          </w:divBdr>
          <w:divsChild>
            <w:div w:id="63184810">
              <w:marLeft w:val="0"/>
              <w:marRight w:val="2100"/>
              <w:marTop w:val="0"/>
              <w:marBottom w:val="0"/>
              <w:divBdr>
                <w:top w:val="none" w:sz="0" w:space="0" w:color="auto"/>
                <w:left w:val="none" w:sz="0" w:space="0" w:color="auto"/>
                <w:bottom w:val="none" w:sz="0" w:space="0" w:color="auto"/>
                <w:right w:val="none" w:sz="0" w:space="0" w:color="auto"/>
              </w:divBdr>
            </w:div>
            <w:div w:id="1559588936">
              <w:marLeft w:val="0"/>
              <w:marRight w:val="2100"/>
              <w:marTop w:val="0"/>
              <w:marBottom w:val="0"/>
              <w:divBdr>
                <w:top w:val="none" w:sz="0" w:space="0" w:color="auto"/>
                <w:left w:val="none" w:sz="0" w:space="0" w:color="auto"/>
                <w:bottom w:val="none" w:sz="0" w:space="0" w:color="auto"/>
                <w:right w:val="none" w:sz="0" w:space="0" w:color="auto"/>
              </w:divBdr>
            </w:div>
          </w:divsChild>
        </w:div>
        <w:div w:id="1840342150">
          <w:marLeft w:val="0"/>
          <w:marRight w:val="0"/>
          <w:marTop w:val="0"/>
          <w:marBottom w:val="30"/>
          <w:divBdr>
            <w:top w:val="none" w:sz="0" w:space="0" w:color="auto"/>
            <w:left w:val="none" w:sz="0" w:space="0" w:color="auto"/>
            <w:bottom w:val="none" w:sz="0" w:space="0" w:color="auto"/>
            <w:right w:val="none" w:sz="0" w:space="0" w:color="auto"/>
          </w:divBdr>
        </w:div>
        <w:div w:id="540169597">
          <w:marLeft w:val="0"/>
          <w:marRight w:val="0"/>
          <w:marTop w:val="0"/>
          <w:marBottom w:val="30"/>
          <w:divBdr>
            <w:top w:val="none" w:sz="0" w:space="0" w:color="auto"/>
            <w:left w:val="none" w:sz="0" w:space="0" w:color="auto"/>
            <w:bottom w:val="none" w:sz="0" w:space="0" w:color="auto"/>
            <w:right w:val="none" w:sz="0" w:space="0" w:color="auto"/>
          </w:divBdr>
        </w:div>
        <w:div w:id="777945052">
          <w:marLeft w:val="0"/>
          <w:marRight w:val="0"/>
          <w:marTop w:val="0"/>
          <w:marBottom w:val="30"/>
          <w:divBdr>
            <w:top w:val="none" w:sz="0" w:space="0" w:color="auto"/>
            <w:left w:val="none" w:sz="0" w:space="0" w:color="auto"/>
            <w:bottom w:val="none" w:sz="0" w:space="0" w:color="auto"/>
            <w:right w:val="none" w:sz="0" w:space="0" w:color="auto"/>
          </w:divBdr>
        </w:div>
        <w:div w:id="982974619">
          <w:marLeft w:val="0"/>
          <w:marRight w:val="0"/>
          <w:marTop w:val="0"/>
          <w:marBottom w:val="30"/>
          <w:divBdr>
            <w:top w:val="none" w:sz="0" w:space="0" w:color="auto"/>
            <w:left w:val="none" w:sz="0" w:space="0" w:color="auto"/>
            <w:bottom w:val="none" w:sz="0" w:space="0" w:color="auto"/>
            <w:right w:val="none" w:sz="0" w:space="0" w:color="auto"/>
          </w:divBdr>
        </w:div>
        <w:div w:id="185948282">
          <w:marLeft w:val="0"/>
          <w:marRight w:val="-2100"/>
          <w:marTop w:val="0"/>
          <w:marBottom w:val="0"/>
          <w:divBdr>
            <w:top w:val="none" w:sz="0" w:space="0" w:color="auto"/>
            <w:left w:val="none" w:sz="0" w:space="0" w:color="auto"/>
            <w:bottom w:val="none" w:sz="0" w:space="0" w:color="auto"/>
            <w:right w:val="none" w:sz="0" w:space="0" w:color="auto"/>
          </w:divBdr>
          <w:divsChild>
            <w:div w:id="1081827608">
              <w:marLeft w:val="0"/>
              <w:marRight w:val="2100"/>
              <w:marTop w:val="0"/>
              <w:marBottom w:val="0"/>
              <w:divBdr>
                <w:top w:val="none" w:sz="0" w:space="0" w:color="auto"/>
                <w:left w:val="none" w:sz="0" w:space="0" w:color="auto"/>
                <w:bottom w:val="none" w:sz="0" w:space="0" w:color="auto"/>
                <w:right w:val="none" w:sz="0" w:space="0" w:color="auto"/>
              </w:divBdr>
            </w:div>
            <w:div w:id="2137671862">
              <w:marLeft w:val="0"/>
              <w:marRight w:val="2100"/>
              <w:marTop w:val="0"/>
              <w:marBottom w:val="0"/>
              <w:divBdr>
                <w:top w:val="none" w:sz="0" w:space="0" w:color="auto"/>
                <w:left w:val="none" w:sz="0" w:space="0" w:color="auto"/>
                <w:bottom w:val="none" w:sz="0" w:space="0" w:color="auto"/>
                <w:right w:val="none" w:sz="0" w:space="0" w:color="auto"/>
              </w:divBdr>
            </w:div>
          </w:divsChild>
        </w:div>
        <w:div w:id="1699894777">
          <w:marLeft w:val="0"/>
          <w:marRight w:val="0"/>
          <w:marTop w:val="0"/>
          <w:marBottom w:val="30"/>
          <w:divBdr>
            <w:top w:val="none" w:sz="0" w:space="0" w:color="auto"/>
            <w:left w:val="none" w:sz="0" w:space="0" w:color="auto"/>
            <w:bottom w:val="none" w:sz="0" w:space="0" w:color="auto"/>
            <w:right w:val="none" w:sz="0" w:space="0" w:color="auto"/>
          </w:divBdr>
        </w:div>
        <w:div w:id="1198203335">
          <w:marLeft w:val="0"/>
          <w:marRight w:val="0"/>
          <w:marTop w:val="0"/>
          <w:marBottom w:val="30"/>
          <w:divBdr>
            <w:top w:val="none" w:sz="0" w:space="0" w:color="auto"/>
            <w:left w:val="none" w:sz="0" w:space="0" w:color="auto"/>
            <w:bottom w:val="none" w:sz="0" w:space="0" w:color="auto"/>
            <w:right w:val="none" w:sz="0" w:space="0" w:color="auto"/>
          </w:divBdr>
        </w:div>
        <w:div w:id="1331593154">
          <w:marLeft w:val="0"/>
          <w:marRight w:val="0"/>
          <w:marTop w:val="0"/>
          <w:marBottom w:val="30"/>
          <w:divBdr>
            <w:top w:val="none" w:sz="0" w:space="0" w:color="auto"/>
            <w:left w:val="none" w:sz="0" w:space="0" w:color="auto"/>
            <w:bottom w:val="none" w:sz="0" w:space="0" w:color="auto"/>
            <w:right w:val="none" w:sz="0" w:space="0" w:color="auto"/>
          </w:divBdr>
        </w:div>
        <w:div w:id="1895776311">
          <w:marLeft w:val="0"/>
          <w:marRight w:val="0"/>
          <w:marTop w:val="0"/>
          <w:marBottom w:val="30"/>
          <w:divBdr>
            <w:top w:val="none" w:sz="0" w:space="0" w:color="auto"/>
            <w:left w:val="none" w:sz="0" w:space="0" w:color="auto"/>
            <w:bottom w:val="none" w:sz="0" w:space="0" w:color="auto"/>
            <w:right w:val="none" w:sz="0" w:space="0" w:color="auto"/>
          </w:divBdr>
        </w:div>
        <w:div w:id="1538155284">
          <w:marLeft w:val="0"/>
          <w:marRight w:val="-2100"/>
          <w:marTop w:val="0"/>
          <w:marBottom w:val="0"/>
          <w:divBdr>
            <w:top w:val="none" w:sz="0" w:space="0" w:color="auto"/>
            <w:left w:val="none" w:sz="0" w:space="0" w:color="auto"/>
            <w:bottom w:val="none" w:sz="0" w:space="0" w:color="auto"/>
            <w:right w:val="none" w:sz="0" w:space="0" w:color="auto"/>
          </w:divBdr>
          <w:divsChild>
            <w:div w:id="1270162548">
              <w:marLeft w:val="0"/>
              <w:marRight w:val="2100"/>
              <w:marTop w:val="0"/>
              <w:marBottom w:val="0"/>
              <w:divBdr>
                <w:top w:val="none" w:sz="0" w:space="0" w:color="auto"/>
                <w:left w:val="none" w:sz="0" w:space="0" w:color="auto"/>
                <w:bottom w:val="none" w:sz="0" w:space="0" w:color="auto"/>
                <w:right w:val="none" w:sz="0" w:space="0" w:color="auto"/>
              </w:divBdr>
            </w:div>
            <w:div w:id="301007821">
              <w:marLeft w:val="0"/>
              <w:marRight w:val="2100"/>
              <w:marTop w:val="0"/>
              <w:marBottom w:val="0"/>
              <w:divBdr>
                <w:top w:val="none" w:sz="0" w:space="0" w:color="auto"/>
                <w:left w:val="none" w:sz="0" w:space="0" w:color="auto"/>
                <w:bottom w:val="none" w:sz="0" w:space="0" w:color="auto"/>
                <w:right w:val="none" w:sz="0" w:space="0" w:color="auto"/>
              </w:divBdr>
            </w:div>
          </w:divsChild>
        </w:div>
        <w:div w:id="415134742">
          <w:marLeft w:val="0"/>
          <w:marRight w:val="0"/>
          <w:marTop w:val="0"/>
          <w:marBottom w:val="30"/>
          <w:divBdr>
            <w:top w:val="none" w:sz="0" w:space="0" w:color="auto"/>
            <w:left w:val="none" w:sz="0" w:space="0" w:color="auto"/>
            <w:bottom w:val="none" w:sz="0" w:space="0" w:color="auto"/>
            <w:right w:val="none" w:sz="0" w:space="0" w:color="auto"/>
          </w:divBdr>
        </w:div>
        <w:div w:id="150290989">
          <w:marLeft w:val="0"/>
          <w:marRight w:val="0"/>
          <w:marTop w:val="0"/>
          <w:marBottom w:val="30"/>
          <w:divBdr>
            <w:top w:val="none" w:sz="0" w:space="0" w:color="auto"/>
            <w:left w:val="none" w:sz="0" w:space="0" w:color="auto"/>
            <w:bottom w:val="none" w:sz="0" w:space="0" w:color="auto"/>
            <w:right w:val="none" w:sz="0" w:space="0" w:color="auto"/>
          </w:divBdr>
        </w:div>
        <w:div w:id="1353647819">
          <w:marLeft w:val="0"/>
          <w:marRight w:val="0"/>
          <w:marTop w:val="0"/>
          <w:marBottom w:val="30"/>
          <w:divBdr>
            <w:top w:val="none" w:sz="0" w:space="0" w:color="auto"/>
            <w:left w:val="none" w:sz="0" w:space="0" w:color="auto"/>
            <w:bottom w:val="none" w:sz="0" w:space="0" w:color="auto"/>
            <w:right w:val="none" w:sz="0" w:space="0" w:color="auto"/>
          </w:divBdr>
        </w:div>
        <w:div w:id="736053961">
          <w:marLeft w:val="0"/>
          <w:marRight w:val="0"/>
          <w:marTop w:val="0"/>
          <w:marBottom w:val="30"/>
          <w:divBdr>
            <w:top w:val="none" w:sz="0" w:space="0" w:color="auto"/>
            <w:left w:val="none" w:sz="0" w:space="0" w:color="auto"/>
            <w:bottom w:val="none" w:sz="0" w:space="0" w:color="auto"/>
            <w:right w:val="none" w:sz="0" w:space="0" w:color="auto"/>
          </w:divBdr>
        </w:div>
        <w:div w:id="295764626">
          <w:marLeft w:val="0"/>
          <w:marRight w:val="-2100"/>
          <w:marTop w:val="0"/>
          <w:marBottom w:val="0"/>
          <w:divBdr>
            <w:top w:val="none" w:sz="0" w:space="0" w:color="auto"/>
            <w:left w:val="none" w:sz="0" w:space="0" w:color="auto"/>
            <w:bottom w:val="none" w:sz="0" w:space="0" w:color="auto"/>
            <w:right w:val="none" w:sz="0" w:space="0" w:color="auto"/>
          </w:divBdr>
          <w:divsChild>
            <w:div w:id="1907252675">
              <w:marLeft w:val="0"/>
              <w:marRight w:val="2100"/>
              <w:marTop w:val="0"/>
              <w:marBottom w:val="0"/>
              <w:divBdr>
                <w:top w:val="none" w:sz="0" w:space="0" w:color="auto"/>
                <w:left w:val="none" w:sz="0" w:space="0" w:color="auto"/>
                <w:bottom w:val="none" w:sz="0" w:space="0" w:color="auto"/>
                <w:right w:val="none" w:sz="0" w:space="0" w:color="auto"/>
              </w:divBdr>
            </w:div>
            <w:div w:id="877670067">
              <w:marLeft w:val="0"/>
              <w:marRight w:val="2100"/>
              <w:marTop w:val="0"/>
              <w:marBottom w:val="0"/>
              <w:divBdr>
                <w:top w:val="none" w:sz="0" w:space="0" w:color="auto"/>
                <w:left w:val="none" w:sz="0" w:space="0" w:color="auto"/>
                <w:bottom w:val="none" w:sz="0" w:space="0" w:color="auto"/>
                <w:right w:val="none" w:sz="0" w:space="0" w:color="auto"/>
              </w:divBdr>
            </w:div>
          </w:divsChild>
        </w:div>
        <w:div w:id="468322750">
          <w:marLeft w:val="0"/>
          <w:marRight w:val="0"/>
          <w:marTop w:val="0"/>
          <w:marBottom w:val="30"/>
          <w:divBdr>
            <w:top w:val="none" w:sz="0" w:space="0" w:color="auto"/>
            <w:left w:val="none" w:sz="0" w:space="0" w:color="auto"/>
            <w:bottom w:val="none" w:sz="0" w:space="0" w:color="auto"/>
            <w:right w:val="none" w:sz="0" w:space="0" w:color="auto"/>
          </w:divBdr>
        </w:div>
        <w:div w:id="1234968004">
          <w:marLeft w:val="0"/>
          <w:marRight w:val="0"/>
          <w:marTop w:val="0"/>
          <w:marBottom w:val="30"/>
          <w:divBdr>
            <w:top w:val="none" w:sz="0" w:space="0" w:color="auto"/>
            <w:left w:val="none" w:sz="0" w:space="0" w:color="auto"/>
            <w:bottom w:val="none" w:sz="0" w:space="0" w:color="auto"/>
            <w:right w:val="none" w:sz="0" w:space="0" w:color="auto"/>
          </w:divBdr>
        </w:div>
        <w:div w:id="1974602198">
          <w:marLeft w:val="0"/>
          <w:marRight w:val="0"/>
          <w:marTop w:val="0"/>
          <w:marBottom w:val="30"/>
          <w:divBdr>
            <w:top w:val="none" w:sz="0" w:space="0" w:color="auto"/>
            <w:left w:val="none" w:sz="0" w:space="0" w:color="auto"/>
            <w:bottom w:val="none" w:sz="0" w:space="0" w:color="auto"/>
            <w:right w:val="none" w:sz="0" w:space="0" w:color="auto"/>
          </w:divBdr>
        </w:div>
        <w:div w:id="1579441397">
          <w:marLeft w:val="0"/>
          <w:marRight w:val="0"/>
          <w:marTop w:val="0"/>
          <w:marBottom w:val="30"/>
          <w:divBdr>
            <w:top w:val="none" w:sz="0" w:space="0" w:color="auto"/>
            <w:left w:val="none" w:sz="0" w:space="0" w:color="auto"/>
            <w:bottom w:val="none" w:sz="0" w:space="0" w:color="auto"/>
            <w:right w:val="none" w:sz="0" w:space="0" w:color="auto"/>
          </w:divBdr>
        </w:div>
        <w:div w:id="1249004606">
          <w:marLeft w:val="0"/>
          <w:marRight w:val="-2100"/>
          <w:marTop w:val="0"/>
          <w:marBottom w:val="0"/>
          <w:divBdr>
            <w:top w:val="none" w:sz="0" w:space="0" w:color="auto"/>
            <w:left w:val="none" w:sz="0" w:space="0" w:color="auto"/>
            <w:bottom w:val="none" w:sz="0" w:space="0" w:color="auto"/>
            <w:right w:val="none" w:sz="0" w:space="0" w:color="auto"/>
          </w:divBdr>
          <w:divsChild>
            <w:div w:id="11107275">
              <w:marLeft w:val="0"/>
              <w:marRight w:val="2100"/>
              <w:marTop w:val="0"/>
              <w:marBottom w:val="0"/>
              <w:divBdr>
                <w:top w:val="none" w:sz="0" w:space="0" w:color="auto"/>
                <w:left w:val="none" w:sz="0" w:space="0" w:color="auto"/>
                <w:bottom w:val="none" w:sz="0" w:space="0" w:color="auto"/>
                <w:right w:val="none" w:sz="0" w:space="0" w:color="auto"/>
              </w:divBdr>
            </w:div>
            <w:div w:id="1296642764">
              <w:marLeft w:val="0"/>
              <w:marRight w:val="2100"/>
              <w:marTop w:val="0"/>
              <w:marBottom w:val="0"/>
              <w:divBdr>
                <w:top w:val="none" w:sz="0" w:space="0" w:color="auto"/>
                <w:left w:val="none" w:sz="0" w:space="0" w:color="auto"/>
                <w:bottom w:val="none" w:sz="0" w:space="0" w:color="auto"/>
                <w:right w:val="none" w:sz="0" w:space="0" w:color="auto"/>
              </w:divBdr>
            </w:div>
          </w:divsChild>
        </w:div>
        <w:div w:id="350188098">
          <w:marLeft w:val="0"/>
          <w:marRight w:val="0"/>
          <w:marTop w:val="0"/>
          <w:marBottom w:val="30"/>
          <w:divBdr>
            <w:top w:val="none" w:sz="0" w:space="0" w:color="auto"/>
            <w:left w:val="none" w:sz="0" w:space="0" w:color="auto"/>
            <w:bottom w:val="none" w:sz="0" w:space="0" w:color="auto"/>
            <w:right w:val="none" w:sz="0" w:space="0" w:color="auto"/>
          </w:divBdr>
        </w:div>
        <w:div w:id="2091850151">
          <w:marLeft w:val="0"/>
          <w:marRight w:val="0"/>
          <w:marTop w:val="0"/>
          <w:marBottom w:val="30"/>
          <w:divBdr>
            <w:top w:val="none" w:sz="0" w:space="0" w:color="auto"/>
            <w:left w:val="none" w:sz="0" w:space="0" w:color="auto"/>
            <w:bottom w:val="none" w:sz="0" w:space="0" w:color="auto"/>
            <w:right w:val="none" w:sz="0" w:space="0" w:color="auto"/>
          </w:divBdr>
        </w:div>
        <w:div w:id="733747272">
          <w:marLeft w:val="0"/>
          <w:marRight w:val="0"/>
          <w:marTop w:val="0"/>
          <w:marBottom w:val="30"/>
          <w:divBdr>
            <w:top w:val="none" w:sz="0" w:space="0" w:color="auto"/>
            <w:left w:val="none" w:sz="0" w:space="0" w:color="auto"/>
            <w:bottom w:val="none" w:sz="0" w:space="0" w:color="auto"/>
            <w:right w:val="none" w:sz="0" w:space="0" w:color="auto"/>
          </w:divBdr>
        </w:div>
        <w:div w:id="81490255">
          <w:marLeft w:val="0"/>
          <w:marRight w:val="0"/>
          <w:marTop w:val="0"/>
          <w:marBottom w:val="30"/>
          <w:divBdr>
            <w:top w:val="none" w:sz="0" w:space="0" w:color="auto"/>
            <w:left w:val="none" w:sz="0" w:space="0" w:color="auto"/>
            <w:bottom w:val="none" w:sz="0" w:space="0" w:color="auto"/>
            <w:right w:val="none" w:sz="0" w:space="0" w:color="auto"/>
          </w:divBdr>
        </w:div>
        <w:div w:id="666860718">
          <w:marLeft w:val="0"/>
          <w:marRight w:val="0"/>
          <w:marTop w:val="0"/>
          <w:marBottom w:val="0"/>
          <w:divBdr>
            <w:top w:val="none" w:sz="0" w:space="0" w:color="auto"/>
            <w:left w:val="none" w:sz="0" w:space="0" w:color="auto"/>
            <w:bottom w:val="none" w:sz="0" w:space="0" w:color="auto"/>
            <w:right w:val="none" w:sz="0" w:space="0" w:color="auto"/>
          </w:divBdr>
          <w:divsChild>
            <w:div w:id="1813255710">
              <w:marLeft w:val="0"/>
              <w:marRight w:val="-2100"/>
              <w:marTop w:val="0"/>
              <w:marBottom w:val="0"/>
              <w:divBdr>
                <w:top w:val="none" w:sz="0" w:space="0" w:color="auto"/>
                <w:left w:val="none" w:sz="0" w:space="0" w:color="auto"/>
                <w:bottom w:val="none" w:sz="0" w:space="0" w:color="auto"/>
                <w:right w:val="none" w:sz="0" w:space="0" w:color="auto"/>
              </w:divBdr>
              <w:divsChild>
                <w:div w:id="2104766385">
                  <w:marLeft w:val="0"/>
                  <w:marRight w:val="2100"/>
                  <w:marTop w:val="0"/>
                  <w:marBottom w:val="0"/>
                  <w:divBdr>
                    <w:top w:val="none" w:sz="0" w:space="0" w:color="auto"/>
                    <w:left w:val="none" w:sz="0" w:space="0" w:color="auto"/>
                    <w:bottom w:val="none" w:sz="0" w:space="0" w:color="auto"/>
                    <w:right w:val="none" w:sz="0" w:space="0" w:color="auto"/>
                  </w:divBdr>
                </w:div>
                <w:div w:id="1094981363">
                  <w:marLeft w:val="0"/>
                  <w:marRight w:val="2100"/>
                  <w:marTop w:val="0"/>
                  <w:marBottom w:val="0"/>
                  <w:divBdr>
                    <w:top w:val="none" w:sz="0" w:space="0" w:color="auto"/>
                    <w:left w:val="none" w:sz="0" w:space="0" w:color="auto"/>
                    <w:bottom w:val="none" w:sz="0" w:space="0" w:color="auto"/>
                    <w:right w:val="none" w:sz="0" w:space="0" w:color="auto"/>
                  </w:divBdr>
                </w:div>
              </w:divsChild>
            </w:div>
            <w:div w:id="155003226">
              <w:marLeft w:val="0"/>
              <w:marRight w:val="0"/>
              <w:marTop w:val="0"/>
              <w:marBottom w:val="30"/>
              <w:divBdr>
                <w:top w:val="none" w:sz="0" w:space="0" w:color="auto"/>
                <w:left w:val="none" w:sz="0" w:space="0" w:color="auto"/>
                <w:bottom w:val="none" w:sz="0" w:space="0" w:color="auto"/>
                <w:right w:val="none" w:sz="0" w:space="0" w:color="auto"/>
              </w:divBdr>
            </w:div>
            <w:div w:id="1796950445">
              <w:marLeft w:val="0"/>
              <w:marRight w:val="0"/>
              <w:marTop w:val="0"/>
              <w:marBottom w:val="30"/>
              <w:divBdr>
                <w:top w:val="none" w:sz="0" w:space="0" w:color="auto"/>
                <w:left w:val="none" w:sz="0" w:space="0" w:color="auto"/>
                <w:bottom w:val="none" w:sz="0" w:space="0" w:color="auto"/>
                <w:right w:val="none" w:sz="0" w:space="0" w:color="auto"/>
              </w:divBdr>
            </w:div>
            <w:div w:id="478037710">
              <w:marLeft w:val="0"/>
              <w:marRight w:val="0"/>
              <w:marTop w:val="0"/>
              <w:marBottom w:val="30"/>
              <w:divBdr>
                <w:top w:val="none" w:sz="0" w:space="0" w:color="auto"/>
                <w:left w:val="none" w:sz="0" w:space="0" w:color="auto"/>
                <w:bottom w:val="none" w:sz="0" w:space="0" w:color="auto"/>
                <w:right w:val="none" w:sz="0" w:space="0" w:color="auto"/>
              </w:divBdr>
            </w:div>
            <w:div w:id="1801261768">
              <w:marLeft w:val="0"/>
              <w:marRight w:val="0"/>
              <w:marTop w:val="0"/>
              <w:marBottom w:val="30"/>
              <w:divBdr>
                <w:top w:val="none" w:sz="0" w:space="0" w:color="auto"/>
                <w:left w:val="none" w:sz="0" w:space="0" w:color="auto"/>
                <w:bottom w:val="none" w:sz="0" w:space="0" w:color="auto"/>
                <w:right w:val="none" w:sz="0" w:space="0" w:color="auto"/>
              </w:divBdr>
            </w:div>
            <w:div w:id="160202629">
              <w:marLeft w:val="0"/>
              <w:marRight w:val="-2100"/>
              <w:marTop w:val="0"/>
              <w:marBottom w:val="0"/>
              <w:divBdr>
                <w:top w:val="none" w:sz="0" w:space="0" w:color="auto"/>
                <w:left w:val="none" w:sz="0" w:space="0" w:color="auto"/>
                <w:bottom w:val="none" w:sz="0" w:space="0" w:color="auto"/>
                <w:right w:val="none" w:sz="0" w:space="0" w:color="auto"/>
              </w:divBdr>
              <w:divsChild>
                <w:div w:id="1999962780">
                  <w:marLeft w:val="0"/>
                  <w:marRight w:val="2100"/>
                  <w:marTop w:val="0"/>
                  <w:marBottom w:val="0"/>
                  <w:divBdr>
                    <w:top w:val="none" w:sz="0" w:space="0" w:color="auto"/>
                    <w:left w:val="none" w:sz="0" w:space="0" w:color="auto"/>
                    <w:bottom w:val="none" w:sz="0" w:space="0" w:color="auto"/>
                    <w:right w:val="none" w:sz="0" w:space="0" w:color="auto"/>
                  </w:divBdr>
                </w:div>
                <w:div w:id="586571846">
                  <w:marLeft w:val="0"/>
                  <w:marRight w:val="2100"/>
                  <w:marTop w:val="0"/>
                  <w:marBottom w:val="0"/>
                  <w:divBdr>
                    <w:top w:val="none" w:sz="0" w:space="0" w:color="auto"/>
                    <w:left w:val="none" w:sz="0" w:space="0" w:color="auto"/>
                    <w:bottom w:val="none" w:sz="0" w:space="0" w:color="auto"/>
                    <w:right w:val="none" w:sz="0" w:space="0" w:color="auto"/>
                  </w:divBdr>
                </w:div>
              </w:divsChild>
            </w:div>
            <w:div w:id="1366753384">
              <w:marLeft w:val="0"/>
              <w:marRight w:val="0"/>
              <w:marTop w:val="0"/>
              <w:marBottom w:val="30"/>
              <w:divBdr>
                <w:top w:val="none" w:sz="0" w:space="0" w:color="auto"/>
                <w:left w:val="none" w:sz="0" w:space="0" w:color="auto"/>
                <w:bottom w:val="none" w:sz="0" w:space="0" w:color="auto"/>
                <w:right w:val="none" w:sz="0" w:space="0" w:color="auto"/>
              </w:divBdr>
            </w:div>
            <w:div w:id="742415141">
              <w:marLeft w:val="0"/>
              <w:marRight w:val="0"/>
              <w:marTop w:val="0"/>
              <w:marBottom w:val="30"/>
              <w:divBdr>
                <w:top w:val="none" w:sz="0" w:space="0" w:color="auto"/>
                <w:left w:val="none" w:sz="0" w:space="0" w:color="auto"/>
                <w:bottom w:val="none" w:sz="0" w:space="0" w:color="auto"/>
                <w:right w:val="none" w:sz="0" w:space="0" w:color="auto"/>
              </w:divBdr>
            </w:div>
            <w:div w:id="1098717190">
              <w:marLeft w:val="0"/>
              <w:marRight w:val="0"/>
              <w:marTop w:val="0"/>
              <w:marBottom w:val="30"/>
              <w:divBdr>
                <w:top w:val="none" w:sz="0" w:space="0" w:color="auto"/>
                <w:left w:val="none" w:sz="0" w:space="0" w:color="auto"/>
                <w:bottom w:val="none" w:sz="0" w:space="0" w:color="auto"/>
                <w:right w:val="none" w:sz="0" w:space="0" w:color="auto"/>
              </w:divBdr>
            </w:div>
            <w:div w:id="516964154">
              <w:marLeft w:val="0"/>
              <w:marRight w:val="0"/>
              <w:marTop w:val="0"/>
              <w:marBottom w:val="30"/>
              <w:divBdr>
                <w:top w:val="none" w:sz="0" w:space="0" w:color="auto"/>
                <w:left w:val="none" w:sz="0" w:space="0" w:color="auto"/>
                <w:bottom w:val="none" w:sz="0" w:space="0" w:color="auto"/>
                <w:right w:val="none" w:sz="0" w:space="0" w:color="auto"/>
              </w:divBdr>
            </w:div>
            <w:div w:id="2127650735">
              <w:marLeft w:val="0"/>
              <w:marRight w:val="-2100"/>
              <w:marTop w:val="0"/>
              <w:marBottom w:val="0"/>
              <w:divBdr>
                <w:top w:val="none" w:sz="0" w:space="0" w:color="auto"/>
                <w:left w:val="none" w:sz="0" w:space="0" w:color="auto"/>
                <w:bottom w:val="none" w:sz="0" w:space="0" w:color="auto"/>
                <w:right w:val="none" w:sz="0" w:space="0" w:color="auto"/>
              </w:divBdr>
              <w:divsChild>
                <w:div w:id="33040845">
                  <w:marLeft w:val="0"/>
                  <w:marRight w:val="2100"/>
                  <w:marTop w:val="0"/>
                  <w:marBottom w:val="0"/>
                  <w:divBdr>
                    <w:top w:val="none" w:sz="0" w:space="0" w:color="auto"/>
                    <w:left w:val="none" w:sz="0" w:space="0" w:color="auto"/>
                    <w:bottom w:val="none" w:sz="0" w:space="0" w:color="auto"/>
                    <w:right w:val="none" w:sz="0" w:space="0" w:color="auto"/>
                  </w:divBdr>
                </w:div>
                <w:div w:id="826748147">
                  <w:marLeft w:val="0"/>
                  <w:marRight w:val="2100"/>
                  <w:marTop w:val="0"/>
                  <w:marBottom w:val="0"/>
                  <w:divBdr>
                    <w:top w:val="none" w:sz="0" w:space="0" w:color="auto"/>
                    <w:left w:val="none" w:sz="0" w:space="0" w:color="auto"/>
                    <w:bottom w:val="none" w:sz="0" w:space="0" w:color="auto"/>
                    <w:right w:val="none" w:sz="0" w:space="0" w:color="auto"/>
                  </w:divBdr>
                </w:div>
              </w:divsChild>
            </w:div>
            <w:div w:id="1657608060">
              <w:marLeft w:val="0"/>
              <w:marRight w:val="0"/>
              <w:marTop w:val="0"/>
              <w:marBottom w:val="30"/>
              <w:divBdr>
                <w:top w:val="none" w:sz="0" w:space="0" w:color="auto"/>
                <w:left w:val="none" w:sz="0" w:space="0" w:color="auto"/>
                <w:bottom w:val="none" w:sz="0" w:space="0" w:color="auto"/>
                <w:right w:val="none" w:sz="0" w:space="0" w:color="auto"/>
              </w:divBdr>
            </w:div>
            <w:div w:id="284240017">
              <w:marLeft w:val="0"/>
              <w:marRight w:val="0"/>
              <w:marTop w:val="0"/>
              <w:marBottom w:val="30"/>
              <w:divBdr>
                <w:top w:val="none" w:sz="0" w:space="0" w:color="auto"/>
                <w:left w:val="none" w:sz="0" w:space="0" w:color="auto"/>
                <w:bottom w:val="none" w:sz="0" w:space="0" w:color="auto"/>
                <w:right w:val="none" w:sz="0" w:space="0" w:color="auto"/>
              </w:divBdr>
            </w:div>
            <w:div w:id="1145003823">
              <w:marLeft w:val="0"/>
              <w:marRight w:val="0"/>
              <w:marTop w:val="0"/>
              <w:marBottom w:val="30"/>
              <w:divBdr>
                <w:top w:val="none" w:sz="0" w:space="0" w:color="auto"/>
                <w:left w:val="none" w:sz="0" w:space="0" w:color="auto"/>
                <w:bottom w:val="none" w:sz="0" w:space="0" w:color="auto"/>
                <w:right w:val="none" w:sz="0" w:space="0" w:color="auto"/>
              </w:divBdr>
            </w:div>
            <w:div w:id="609170553">
              <w:marLeft w:val="0"/>
              <w:marRight w:val="0"/>
              <w:marTop w:val="0"/>
              <w:marBottom w:val="30"/>
              <w:divBdr>
                <w:top w:val="none" w:sz="0" w:space="0" w:color="auto"/>
                <w:left w:val="none" w:sz="0" w:space="0" w:color="auto"/>
                <w:bottom w:val="none" w:sz="0" w:space="0" w:color="auto"/>
                <w:right w:val="none" w:sz="0" w:space="0" w:color="auto"/>
              </w:divBdr>
            </w:div>
            <w:div w:id="1794863810">
              <w:marLeft w:val="0"/>
              <w:marRight w:val="-2100"/>
              <w:marTop w:val="0"/>
              <w:marBottom w:val="0"/>
              <w:divBdr>
                <w:top w:val="none" w:sz="0" w:space="0" w:color="auto"/>
                <w:left w:val="none" w:sz="0" w:space="0" w:color="auto"/>
                <w:bottom w:val="none" w:sz="0" w:space="0" w:color="auto"/>
                <w:right w:val="none" w:sz="0" w:space="0" w:color="auto"/>
              </w:divBdr>
              <w:divsChild>
                <w:div w:id="176041229">
                  <w:marLeft w:val="0"/>
                  <w:marRight w:val="2100"/>
                  <w:marTop w:val="0"/>
                  <w:marBottom w:val="0"/>
                  <w:divBdr>
                    <w:top w:val="none" w:sz="0" w:space="0" w:color="auto"/>
                    <w:left w:val="none" w:sz="0" w:space="0" w:color="auto"/>
                    <w:bottom w:val="none" w:sz="0" w:space="0" w:color="auto"/>
                    <w:right w:val="none" w:sz="0" w:space="0" w:color="auto"/>
                  </w:divBdr>
                </w:div>
              </w:divsChild>
            </w:div>
          </w:divsChild>
        </w:div>
      </w:divsChild>
    </w:div>
    <w:div w:id="1129586904">
      <w:bodyDiv w:val="1"/>
      <w:marLeft w:val="0"/>
      <w:marRight w:val="0"/>
      <w:marTop w:val="0"/>
      <w:marBottom w:val="0"/>
      <w:divBdr>
        <w:top w:val="none" w:sz="0" w:space="0" w:color="auto"/>
        <w:left w:val="none" w:sz="0" w:space="0" w:color="auto"/>
        <w:bottom w:val="none" w:sz="0" w:space="0" w:color="auto"/>
        <w:right w:val="none" w:sz="0" w:space="0" w:color="auto"/>
      </w:divBdr>
    </w:div>
    <w:div w:id="1131361186">
      <w:bodyDiv w:val="1"/>
      <w:marLeft w:val="0"/>
      <w:marRight w:val="0"/>
      <w:marTop w:val="0"/>
      <w:marBottom w:val="0"/>
      <w:divBdr>
        <w:top w:val="none" w:sz="0" w:space="0" w:color="auto"/>
        <w:left w:val="none" w:sz="0" w:space="0" w:color="auto"/>
        <w:bottom w:val="none" w:sz="0" w:space="0" w:color="auto"/>
        <w:right w:val="none" w:sz="0" w:space="0" w:color="auto"/>
      </w:divBdr>
    </w:div>
    <w:div w:id="1143155392">
      <w:bodyDiv w:val="1"/>
      <w:marLeft w:val="0"/>
      <w:marRight w:val="0"/>
      <w:marTop w:val="0"/>
      <w:marBottom w:val="0"/>
      <w:divBdr>
        <w:top w:val="none" w:sz="0" w:space="0" w:color="auto"/>
        <w:left w:val="none" w:sz="0" w:space="0" w:color="auto"/>
        <w:bottom w:val="none" w:sz="0" w:space="0" w:color="auto"/>
        <w:right w:val="none" w:sz="0" w:space="0" w:color="auto"/>
      </w:divBdr>
    </w:div>
    <w:div w:id="1145972524">
      <w:bodyDiv w:val="1"/>
      <w:marLeft w:val="0"/>
      <w:marRight w:val="0"/>
      <w:marTop w:val="0"/>
      <w:marBottom w:val="0"/>
      <w:divBdr>
        <w:top w:val="none" w:sz="0" w:space="0" w:color="auto"/>
        <w:left w:val="none" w:sz="0" w:space="0" w:color="auto"/>
        <w:bottom w:val="none" w:sz="0" w:space="0" w:color="auto"/>
        <w:right w:val="none" w:sz="0" w:space="0" w:color="auto"/>
      </w:divBdr>
    </w:div>
    <w:div w:id="1154613762">
      <w:bodyDiv w:val="1"/>
      <w:marLeft w:val="0"/>
      <w:marRight w:val="0"/>
      <w:marTop w:val="0"/>
      <w:marBottom w:val="0"/>
      <w:divBdr>
        <w:top w:val="none" w:sz="0" w:space="0" w:color="auto"/>
        <w:left w:val="none" w:sz="0" w:space="0" w:color="auto"/>
        <w:bottom w:val="none" w:sz="0" w:space="0" w:color="auto"/>
        <w:right w:val="none" w:sz="0" w:space="0" w:color="auto"/>
      </w:divBdr>
    </w:div>
    <w:div w:id="1157185002">
      <w:bodyDiv w:val="1"/>
      <w:marLeft w:val="0"/>
      <w:marRight w:val="0"/>
      <w:marTop w:val="0"/>
      <w:marBottom w:val="0"/>
      <w:divBdr>
        <w:top w:val="none" w:sz="0" w:space="0" w:color="auto"/>
        <w:left w:val="none" w:sz="0" w:space="0" w:color="auto"/>
        <w:bottom w:val="none" w:sz="0" w:space="0" w:color="auto"/>
        <w:right w:val="none" w:sz="0" w:space="0" w:color="auto"/>
      </w:divBdr>
    </w:div>
    <w:div w:id="1163397803">
      <w:bodyDiv w:val="1"/>
      <w:marLeft w:val="0"/>
      <w:marRight w:val="0"/>
      <w:marTop w:val="0"/>
      <w:marBottom w:val="0"/>
      <w:divBdr>
        <w:top w:val="none" w:sz="0" w:space="0" w:color="auto"/>
        <w:left w:val="none" w:sz="0" w:space="0" w:color="auto"/>
        <w:bottom w:val="none" w:sz="0" w:space="0" w:color="auto"/>
        <w:right w:val="none" w:sz="0" w:space="0" w:color="auto"/>
      </w:divBdr>
    </w:div>
    <w:div w:id="1173449022">
      <w:bodyDiv w:val="1"/>
      <w:marLeft w:val="0"/>
      <w:marRight w:val="0"/>
      <w:marTop w:val="0"/>
      <w:marBottom w:val="0"/>
      <w:divBdr>
        <w:top w:val="none" w:sz="0" w:space="0" w:color="auto"/>
        <w:left w:val="none" w:sz="0" w:space="0" w:color="auto"/>
        <w:bottom w:val="none" w:sz="0" w:space="0" w:color="auto"/>
        <w:right w:val="none" w:sz="0" w:space="0" w:color="auto"/>
      </w:divBdr>
    </w:div>
    <w:div w:id="1174153466">
      <w:bodyDiv w:val="1"/>
      <w:marLeft w:val="0"/>
      <w:marRight w:val="0"/>
      <w:marTop w:val="0"/>
      <w:marBottom w:val="0"/>
      <w:divBdr>
        <w:top w:val="none" w:sz="0" w:space="0" w:color="auto"/>
        <w:left w:val="none" w:sz="0" w:space="0" w:color="auto"/>
        <w:bottom w:val="none" w:sz="0" w:space="0" w:color="auto"/>
        <w:right w:val="none" w:sz="0" w:space="0" w:color="auto"/>
      </w:divBdr>
    </w:div>
    <w:div w:id="1177118418">
      <w:bodyDiv w:val="1"/>
      <w:marLeft w:val="0"/>
      <w:marRight w:val="0"/>
      <w:marTop w:val="0"/>
      <w:marBottom w:val="0"/>
      <w:divBdr>
        <w:top w:val="none" w:sz="0" w:space="0" w:color="auto"/>
        <w:left w:val="none" w:sz="0" w:space="0" w:color="auto"/>
        <w:bottom w:val="none" w:sz="0" w:space="0" w:color="auto"/>
        <w:right w:val="none" w:sz="0" w:space="0" w:color="auto"/>
      </w:divBdr>
    </w:div>
    <w:div w:id="1180007954">
      <w:bodyDiv w:val="1"/>
      <w:marLeft w:val="0"/>
      <w:marRight w:val="0"/>
      <w:marTop w:val="0"/>
      <w:marBottom w:val="0"/>
      <w:divBdr>
        <w:top w:val="none" w:sz="0" w:space="0" w:color="auto"/>
        <w:left w:val="none" w:sz="0" w:space="0" w:color="auto"/>
        <w:bottom w:val="none" w:sz="0" w:space="0" w:color="auto"/>
        <w:right w:val="none" w:sz="0" w:space="0" w:color="auto"/>
      </w:divBdr>
    </w:div>
    <w:div w:id="1181548867">
      <w:bodyDiv w:val="1"/>
      <w:marLeft w:val="0"/>
      <w:marRight w:val="0"/>
      <w:marTop w:val="0"/>
      <w:marBottom w:val="0"/>
      <w:divBdr>
        <w:top w:val="none" w:sz="0" w:space="0" w:color="auto"/>
        <w:left w:val="none" w:sz="0" w:space="0" w:color="auto"/>
        <w:bottom w:val="none" w:sz="0" w:space="0" w:color="auto"/>
        <w:right w:val="none" w:sz="0" w:space="0" w:color="auto"/>
      </w:divBdr>
      <w:divsChild>
        <w:div w:id="1236354064">
          <w:marLeft w:val="0"/>
          <w:marRight w:val="0"/>
          <w:marTop w:val="0"/>
          <w:marBottom w:val="0"/>
          <w:divBdr>
            <w:top w:val="none" w:sz="0" w:space="0" w:color="auto"/>
            <w:left w:val="none" w:sz="0" w:space="0" w:color="auto"/>
            <w:bottom w:val="none" w:sz="0" w:space="0" w:color="auto"/>
            <w:right w:val="none" w:sz="0" w:space="0" w:color="auto"/>
          </w:divBdr>
          <w:divsChild>
            <w:div w:id="268316727">
              <w:marLeft w:val="0"/>
              <w:marRight w:val="0"/>
              <w:marTop w:val="0"/>
              <w:marBottom w:val="0"/>
              <w:divBdr>
                <w:top w:val="none" w:sz="0" w:space="0" w:color="auto"/>
                <w:left w:val="none" w:sz="0" w:space="0" w:color="auto"/>
                <w:bottom w:val="none" w:sz="0" w:space="0" w:color="auto"/>
                <w:right w:val="none" w:sz="0" w:space="0" w:color="auto"/>
              </w:divBdr>
              <w:divsChild>
                <w:div w:id="563302189">
                  <w:marLeft w:val="0"/>
                  <w:marRight w:val="0"/>
                  <w:marTop w:val="0"/>
                  <w:marBottom w:val="0"/>
                  <w:divBdr>
                    <w:top w:val="none" w:sz="0" w:space="0" w:color="auto"/>
                    <w:left w:val="none" w:sz="0" w:space="0" w:color="auto"/>
                    <w:bottom w:val="none" w:sz="0" w:space="0" w:color="auto"/>
                    <w:right w:val="none" w:sz="0" w:space="0" w:color="auto"/>
                  </w:divBdr>
                  <w:divsChild>
                    <w:div w:id="615021617">
                      <w:marLeft w:val="-15"/>
                      <w:marRight w:val="-15"/>
                      <w:marTop w:val="0"/>
                      <w:marBottom w:val="0"/>
                      <w:divBdr>
                        <w:top w:val="none" w:sz="0" w:space="0" w:color="auto"/>
                        <w:left w:val="none" w:sz="0" w:space="0" w:color="auto"/>
                        <w:bottom w:val="none" w:sz="0" w:space="0" w:color="auto"/>
                        <w:right w:val="none" w:sz="0" w:space="0" w:color="auto"/>
                      </w:divBdr>
                      <w:divsChild>
                        <w:div w:id="1909654996">
                          <w:marLeft w:val="0"/>
                          <w:marRight w:val="0"/>
                          <w:marTop w:val="0"/>
                          <w:marBottom w:val="0"/>
                          <w:divBdr>
                            <w:top w:val="none" w:sz="0" w:space="0" w:color="auto"/>
                            <w:left w:val="none" w:sz="0" w:space="0" w:color="auto"/>
                            <w:bottom w:val="none" w:sz="0" w:space="0" w:color="auto"/>
                            <w:right w:val="none" w:sz="0" w:space="0" w:color="auto"/>
                          </w:divBdr>
                          <w:divsChild>
                            <w:div w:id="902446454">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6749487">
      <w:bodyDiv w:val="1"/>
      <w:marLeft w:val="0"/>
      <w:marRight w:val="0"/>
      <w:marTop w:val="0"/>
      <w:marBottom w:val="0"/>
      <w:divBdr>
        <w:top w:val="none" w:sz="0" w:space="0" w:color="auto"/>
        <w:left w:val="none" w:sz="0" w:space="0" w:color="auto"/>
        <w:bottom w:val="none" w:sz="0" w:space="0" w:color="auto"/>
        <w:right w:val="none" w:sz="0" w:space="0" w:color="auto"/>
      </w:divBdr>
      <w:divsChild>
        <w:div w:id="1808476586">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188107168">
      <w:bodyDiv w:val="1"/>
      <w:marLeft w:val="0"/>
      <w:marRight w:val="0"/>
      <w:marTop w:val="0"/>
      <w:marBottom w:val="0"/>
      <w:divBdr>
        <w:top w:val="none" w:sz="0" w:space="0" w:color="auto"/>
        <w:left w:val="none" w:sz="0" w:space="0" w:color="auto"/>
        <w:bottom w:val="none" w:sz="0" w:space="0" w:color="auto"/>
        <w:right w:val="none" w:sz="0" w:space="0" w:color="auto"/>
      </w:divBdr>
    </w:div>
    <w:div w:id="1192298410">
      <w:bodyDiv w:val="1"/>
      <w:marLeft w:val="0"/>
      <w:marRight w:val="0"/>
      <w:marTop w:val="0"/>
      <w:marBottom w:val="0"/>
      <w:divBdr>
        <w:top w:val="none" w:sz="0" w:space="0" w:color="auto"/>
        <w:left w:val="none" w:sz="0" w:space="0" w:color="auto"/>
        <w:bottom w:val="none" w:sz="0" w:space="0" w:color="auto"/>
        <w:right w:val="none" w:sz="0" w:space="0" w:color="auto"/>
      </w:divBdr>
    </w:div>
    <w:div w:id="1192769467">
      <w:bodyDiv w:val="1"/>
      <w:marLeft w:val="0"/>
      <w:marRight w:val="0"/>
      <w:marTop w:val="0"/>
      <w:marBottom w:val="0"/>
      <w:divBdr>
        <w:top w:val="none" w:sz="0" w:space="0" w:color="auto"/>
        <w:left w:val="none" w:sz="0" w:space="0" w:color="auto"/>
        <w:bottom w:val="none" w:sz="0" w:space="0" w:color="auto"/>
        <w:right w:val="none" w:sz="0" w:space="0" w:color="auto"/>
      </w:divBdr>
    </w:div>
    <w:div w:id="1206602427">
      <w:bodyDiv w:val="1"/>
      <w:marLeft w:val="0"/>
      <w:marRight w:val="0"/>
      <w:marTop w:val="0"/>
      <w:marBottom w:val="0"/>
      <w:divBdr>
        <w:top w:val="none" w:sz="0" w:space="0" w:color="auto"/>
        <w:left w:val="none" w:sz="0" w:space="0" w:color="auto"/>
        <w:bottom w:val="none" w:sz="0" w:space="0" w:color="auto"/>
        <w:right w:val="none" w:sz="0" w:space="0" w:color="auto"/>
      </w:divBdr>
    </w:div>
    <w:div w:id="1213542860">
      <w:bodyDiv w:val="1"/>
      <w:marLeft w:val="0"/>
      <w:marRight w:val="0"/>
      <w:marTop w:val="0"/>
      <w:marBottom w:val="0"/>
      <w:divBdr>
        <w:top w:val="none" w:sz="0" w:space="0" w:color="auto"/>
        <w:left w:val="none" w:sz="0" w:space="0" w:color="auto"/>
        <w:bottom w:val="none" w:sz="0" w:space="0" w:color="auto"/>
        <w:right w:val="none" w:sz="0" w:space="0" w:color="auto"/>
      </w:divBdr>
      <w:divsChild>
        <w:div w:id="1629317986">
          <w:marLeft w:val="0"/>
          <w:marRight w:val="0"/>
          <w:marTop w:val="0"/>
          <w:marBottom w:val="120"/>
          <w:divBdr>
            <w:top w:val="none" w:sz="0" w:space="0" w:color="auto"/>
            <w:left w:val="none" w:sz="0" w:space="0" w:color="auto"/>
            <w:bottom w:val="none" w:sz="0" w:space="0" w:color="auto"/>
            <w:right w:val="none" w:sz="0" w:space="0" w:color="auto"/>
          </w:divBdr>
        </w:div>
        <w:div w:id="393428611">
          <w:marLeft w:val="0"/>
          <w:marRight w:val="0"/>
          <w:marTop w:val="0"/>
          <w:marBottom w:val="0"/>
          <w:divBdr>
            <w:top w:val="none" w:sz="0" w:space="0" w:color="auto"/>
            <w:left w:val="none" w:sz="0" w:space="0" w:color="auto"/>
            <w:bottom w:val="none" w:sz="0" w:space="0" w:color="auto"/>
            <w:right w:val="none" w:sz="0" w:space="0" w:color="auto"/>
          </w:divBdr>
          <w:divsChild>
            <w:div w:id="79490691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216969074">
      <w:bodyDiv w:val="1"/>
      <w:marLeft w:val="0"/>
      <w:marRight w:val="0"/>
      <w:marTop w:val="0"/>
      <w:marBottom w:val="0"/>
      <w:divBdr>
        <w:top w:val="none" w:sz="0" w:space="0" w:color="auto"/>
        <w:left w:val="none" w:sz="0" w:space="0" w:color="auto"/>
        <w:bottom w:val="none" w:sz="0" w:space="0" w:color="auto"/>
        <w:right w:val="none" w:sz="0" w:space="0" w:color="auto"/>
      </w:divBdr>
    </w:div>
    <w:div w:id="1224560570">
      <w:bodyDiv w:val="1"/>
      <w:marLeft w:val="0"/>
      <w:marRight w:val="0"/>
      <w:marTop w:val="0"/>
      <w:marBottom w:val="0"/>
      <w:divBdr>
        <w:top w:val="none" w:sz="0" w:space="0" w:color="auto"/>
        <w:left w:val="none" w:sz="0" w:space="0" w:color="auto"/>
        <w:bottom w:val="none" w:sz="0" w:space="0" w:color="auto"/>
        <w:right w:val="none" w:sz="0" w:space="0" w:color="auto"/>
      </w:divBdr>
    </w:div>
    <w:div w:id="1234899418">
      <w:bodyDiv w:val="1"/>
      <w:marLeft w:val="0"/>
      <w:marRight w:val="0"/>
      <w:marTop w:val="0"/>
      <w:marBottom w:val="0"/>
      <w:divBdr>
        <w:top w:val="none" w:sz="0" w:space="0" w:color="auto"/>
        <w:left w:val="none" w:sz="0" w:space="0" w:color="auto"/>
        <w:bottom w:val="none" w:sz="0" w:space="0" w:color="auto"/>
        <w:right w:val="none" w:sz="0" w:space="0" w:color="auto"/>
      </w:divBdr>
    </w:div>
    <w:div w:id="1241450471">
      <w:bodyDiv w:val="1"/>
      <w:marLeft w:val="0"/>
      <w:marRight w:val="0"/>
      <w:marTop w:val="0"/>
      <w:marBottom w:val="0"/>
      <w:divBdr>
        <w:top w:val="none" w:sz="0" w:space="0" w:color="auto"/>
        <w:left w:val="none" w:sz="0" w:space="0" w:color="auto"/>
        <w:bottom w:val="none" w:sz="0" w:space="0" w:color="auto"/>
        <w:right w:val="none" w:sz="0" w:space="0" w:color="auto"/>
      </w:divBdr>
    </w:div>
    <w:div w:id="1259604688">
      <w:bodyDiv w:val="1"/>
      <w:marLeft w:val="0"/>
      <w:marRight w:val="0"/>
      <w:marTop w:val="0"/>
      <w:marBottom w:val="0"/>
      <w:divBdr>
        <w:top w:val="none" w:sz="0" w:space="0" w:color="auto"/>
        <w:left w:val="none" w:sz="0" w:space="0" w:color="auto"/>
        <w:bottom w:val="none" w:sz="0" w:space="0" w:color="auto"/>
        <w:right w:val="none" w:sz="0" w:space="0" w:color="auto"/>
      </w:divBdr>
    </w:div>
    <w:div w:id="1265116346">
      <w:bodyDiv w:val="1"/>
      <w:marLeft w:val="0"/>
      <w:marRight w:val="0"/>
      <w:marTop w:val="0"/>
      <w:marBottom w:val="0"/>
      <w:divBdr>
        <w:top w:val="none" w:sz="0" w:space="0" w:color="auto"/>
        <w:left w:val="none" w:sz="0" w:space="0" w:color="auto"/>
        <w:bottom w:val="none" w:sz="0" w:space="0" w:color="auto"/>
        <w:right w:val="none" w:sz="0" w:space="0" w:color="auto"/>
      </w:divBdr>
    </w:div>
    <w:div w:id="1266114972">
      <w:bodyDiv w:val="1"/>
      <w:marLeft w:val="0"/>
      <w:marRight w:val="0"/>
      <w:marTop w:val="0"/>
      <w:marBottom w:val="0"/>
      <w:divBdr>
        <w:top w:val="none" w:sz="0" w:space="0" w:color="auto"/>
        <w:left w:val="none" w:sz="0" w:space="0" w:color="auto"/>
        <w:bottom w:val="none" w:sz="0" w:space="0" w:color="auto"/>
        <w:right w:val="none" w:sz="0" w:space="0" w:color="auto"/>
      </w:divBdr>
      <w:divsChild>
        <w:div w:id="1654019106">
          <w:marLeft w:val="0"/>
          <w:marRight w:val="0"/>
          <w:marTop w:val="0"/>
          <w:marBottom w:val="0"/>
          <w:divBdr>
            <w:top w:val="none" w:sz="0" w:space="0" w:color="auto"/>
            <w:left w:val="none" w:sz="0" w:space="0" w:color="auto"/>
            <w:bottom w:val="none" w:sz="0" w:space="0" w:color="auto"/>
            <w:right w:val="none" w:sz="0" w:space="0" w:color="auto"/>
          </w:divBdr>
        </w:div>
      </w:divsChild>
    </w:div>
    <w:div w:id="1270237898">
      <w:bodyDiv w:val="1"/>
      <w:marLeft w:val="0"/>
      <w:marRight w:val="0"/>
      <w:marTop w:val="0"/>
      <w:marBottom w:val="0"/>
      <w:divBdr>
        <w:top w:val="none" w:sz="0" w:space="0" w:color="auto"/>
        <w:left w:val="none" w:sz="0" w:space="0" w:color="auto"/>
        <w:bottom w:val="none" w:sz="0" w:space="0" w:color="auto"/>
        <w:right w:val="none" w:sz="0" w:space="0" w:color="auto"/>
      </w:divBdr>
      <w:divsChild>
        <w:div w:id="449319469">
          <w:marLeft w:val="0"/>
          <w:marRight w:val="0"/>
          <w:marTop w:val="0"/>
          <w:marBottom w:val="120"/>
          <w:divBdr>
            <w:top w:val="none" w:sz="0" w:space="0" w:color="auto"/>
            <w:left w:val="none" w:sz="0" w:space="0" w:color="auto"/>
            <w:bottom w:val="none" w:sz="0" w:space="0" w:color="auto"/>
            <w:right w:val="none" w:sz="0" w:space="0" w:color="auto"/>
          </w:divBdr>
        </w:div>
        <w:div w:id="1239752454">
          <w:marLeft w:val="0"/>
          <w:marRight w:val="0"/>
          <w:marTop w:val="0"/>
          <w:marBottom w:val="0"/>
          <w:divBdr>
            <w:top w:val="none" w:sz="0" w:space="0" w:color="auto"/>
            <w:left w:val="none" w:sz="0" w:space="0" w:color="auto"/>
            <w:bottom w:val="none" w:sz="0" w:space="0" w:color="auto"/>
            <w:right w:val="none" w:sz="0" w:space="0" w:color="auto"/>
          </w:divBdr>
        </w:div>
      </w:divsChild>
    </w:div>
    <w:div w:id="1273123889">
      <w:bodyDiv w:val="1"/>
      <w:marLeft w:val="0"/>
      <w:marRight w:val="0"/>
      <w:marTop w:val="0"/>
      <w:marBottom w:val="0"/>
      <w:divBdr>
        <w:top w:val="none" w:sz="0" w:space="0" w:color="auto"/>
        <w:left w:val="none" w:sz="0" w:space="0" w:color="auto"/>
        <w:bottom w:val="none" w:sz="0" w:space="0" w:color="auto"/>
        <w:right w:val="none" w:sz="0" w:space="0" w:color="auto"/>
      </w:divBdr>
    </w:div>
    <w:div w:id="1274896033">
      <w:bodyDiv w:val="1"/>
      <w:marLeft w:val="0"/>
      <w:marRight w:val="0"/>
      <w:marTop w:val="0"/>
      <w:marBottom w:val="0"/>
      <w:divBdr>
        <w:top w:val="none" w:sz="0" w:space="0" w:color="auto"/>
        <w:left w:val="none" w:sz="0" w:space="0" w:color="auto"/>
        <w:bottom w:val="none" w:sz="0" w:space="0" w:color="auto"/>
        <w:right w:val="none" w:sz="0" w:space="0" w:color="auto"/>
      </w:divBdr>
    </w:div>
    <w:div w:id="1283271856">
      <w:bodyDiv w:val="1"/>
      <w:marLeft w:val="0"/>
      <w:marRight w:val="0"/>
      <w:marTop w:val="0"/>
      <w:marBottom w:val="0"/>
      <w:divBdr>
        <w:top w:val="none" w:sz="0" w:space="0" w:color="auto"/>
        <w:left w:val="none" w:sz="0" w:space="0" w:color="auto"/>
        <w:bottom w:val="none" w:sz="0" w:space="0" w:color="auto"/>
        <w:right w:val="none" w:sz="0" w:space="0" w:color="auto"/>
      </w:divBdr>
      <w:divsChild>
        <w:div w:id="759569462">
          <w:marLeft w:val="0"/>
          <w:marRight w:val="0"/>
          <w:marTop w:val="0"/>
          <w:marBottom w:val="0"/>
          <w:divBdr>
            <w:top w:val="none" w:sz="0" w:space="0" w:color="auto"/>
            <w:left w:val="none" w:sz="0" w:space="0" w:color="auto"/>
            <w:bottom w:val="none" w:sz="0" w:space="0" w:color="auto"/>
            <w:right w:val="none" w:sz="0" w:space="0" w:color="auto"/>
          </w:divBdr>
          <w:divsChild>
            <w:div w:id="145963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925017">
      <w:bodyDiv w:val="1"/>
      <w:marLeft w:val="0"/>
      <w:marRight w:val="0"/>
      <w:marTop w:val="0"/>
      <w:marBottom w:val="0"/>
      <w:divBdr>
        <w:top w:val="none" w:sz="0" w:space="0" w:color="auto"/>
        <w:left w:val="none" w:sz="0" w:space="0" w:color="auto"/>
        <w:bottom w:val="none" w:sz="0" w:space="0" w:color="auto"/>
        <w:right w:val="none" w:sz="0" w:space="0" w:color="auto"/>
      </w:divBdr>
    </w:div>
    <w:div w:id="1284464129">
      <w:bodyDiv w:val="1"/>
      <w:marLeft w:val="0"/>
      <w:marRight w:val="0"/>
      <w:marTop w:val="0"/>
      <w:marBottom w:val="0"/>
      <w:divBdr>
        <w:top w:val="none" w:sz="0" w:space="0" w:color="auto"/>
        <w:left w:val="none" w:sz="0" w:space="0" w:color="auto"/>
        <w:bottom w:val="none" w:sz="0" w:space="0" w:color="auto"/>
        <w:right w:val="none" w:sz="0" w:space="0" w:color="auto"/>
      </w:divBdr>
    </w:div>
    <w:div w:id="1299914671">
      <w:bodyDiv w:val="1"/>
      <w:marLeft w:val="0"/>
      <w:marRight w:val="0"/>
      <w:marTop w:val="0"/>
      <w:marBottom w:val="0"/>
      <w:divBdr>
        <w:top w:val="none" w:sz="0" w:space="0" w:color="auto"/>
        <w:left w:val="none" w:sz="0" w:space="0" w:color="auto"/>
        <w:bottom w:val="none" w:sz="0" w:space="0" w:color="auto"/>
        <w:right w:val="none" w:sz="0" w:space="0" w:color="auto"/>
      </w:divBdr>
    </w:div>
    <w:div w:id="1317952376">
      <w:bodyDiv w:val="1"/>
      <w:marLeft w:val="0"/>
      <w:marRight w:val="0"/>
      <w:marTop w:val="0"/>
      <w:marBottom w:val="0"/>
      <w:divBdr>
        <w:top w:val="none" w:sz="0" w:space="0" w:color="auto"/>
        <w:left w:val="none" w:sz="0" w:space="0" w:color="auto"/>
        <w:bottom w:val="none" w:sz="0" w:space="0" w:color="auto"/>
        <w:right w:val="none" w:sz="0" w:space="0" w:color="auto"/>
      </w:divBdr>
    </w:div>
    <w:div w:id="1325861272">
      <w:bodyDiv w:val="1"/>
      <w:marLeft w:val="0"/>
      <w:marRight w:val="0"/>
      <w:marTop w:val="0"/>
      <w:marBottom w:val="0"/>
      <w:divBdr>
        <w:top w:val="none" w:sz="0" w:space="0" w:color="auto"/>
        <w:left w:val="none" w:sz="0" w:space="0" w:color="auto"/>
        <w:bottom w:val="none" w:sz="0" w:space="0" w:color="auto"/>
        <w:right w:val="none" w:sz="0" w:space="0" w:color="auto"/>
      </w:divBdr>
    </w:div>
    <w:div w:id="1332444406">
      <w:bodyDiv w:val="1"/>
      <w:marLeft w:val="0"/>
      <w:marRight w:val="0"/>
      <w:marTop w:val="0"/>
      <w:marBottom w:val="0"/>
      <w:divBdr>
        <w:top w:val="none" w:sz="0" w:space="0" w:color="auto"/>
        <w:left w:val="none" w:sz="0" w:space="0" w:color="auto"/>
        <w:bottom w:val="none" w:sz="0" w:space="0" w:color="auto"/>
        <w:right w:val="none" w:sz="0" w:space="0" w:color="auto"/>
      </w:divBdr>
    </w:div>
    <w:div w:id="1333994749">
      <w:bodyDiv w:val="1"/>
      <w:marLeft w:val="0"/>
      <w:marRight w:val="0"/>
      <w:marTop w:val="0"/>
      <w:marBottom w:val="0"/>
      <w:divBdr>
        <w:top w:val="none" w:sz="0" w:space="0" w:color="auto"/>
        <w:left w:val="none" w:sz="0" w:space="0" w:color="auto"/>
        <w:bottom w:val="none" w:sz="0" w:space="0" w:color="auto"/>
        <w:right w:val="none" w:sz="0" w:space="0" w:color="auto"/>
      </w:divBdr>
    </w:div>
    <w:div w:id="1334800941">
      <w:bodyDiv w:val="1"/>
      <w:marLeft w:val="0"/>
      <w:marRight w:val="0"/>
      <w:marTop w:val="0"/>
      <w:marBottom w:val="0"/>
      <w:divBdr>
        <w:top w:val="none" w:sz="0" w:space="0" w:color="auto"/>
        <w:left w:val="none" w:sz="0" w:space="0" w:color="auto"/>
        <w:bottom w:val="none" w:sz="0" w:space="0" w:color="auto"/>
        <w:right w:val="none" w:sz="0" w:space="0" w:color="auto"/>
      </w:divBdr>
    </w:div>
    <w:div w:id="1342317384">
      <w:bodyDiv w:val="1"/>
      <w:marLeft w:val="0"/>
      <w:marRight w:val="0"/>
      <w:marTop w:val="0"/>
      <w:marBottom w:val="0"/>
      <w:divBdr>
        <w:top w:val="none" w:sz="0" w:space="0" w:color="auto"/>
        <w:left w:val="none" w:sz="0" w:space="0" w:color="auto"/>
        <w:bottom w:val="none" w:sz="0" w:space="0" w:color="auto"/>
        <w:right w:val="none" w:sz="0" w:space="0" w:color="auto"/>
      </w:divBdr>
    </w:div>
    <w:div w:id="1344164259">
      <w:bodyDiv w:val="1"/>
      <w:marLeft w:val="0"/>
      <w:marRight w:val="0"/>
      <w:marTop w:val="0"/>
      <w:marBottom w:val="0"/>
      <w:divBdr>
        <w:top w:val="none" w:sz="0" w:space="0" w:color="auto"/>
        <w:left w:val="none" w:sz="0" w:space="0" w:color="auto"/>
        <w:bottom w:val="none" w:sz="0" w:space="0" w:color="auto"/>
        <w:right w:val="none" w:sz="0" w:space="0" w:color="auto"/>
      </w:divBdr>
      <w:divsChild>
        <w:div w:id="631401789">
          <w:marLeft w:val="0"/>
          <w:marRight w:val="0"/>
          <w:marTop w:val="0"/>
          <w:marBottom w:val="0"/>
          <w:divBdr>
            <w:top w:val="none" w:sz="0" w:space="0" w:color="auto"/>
            <w:left w:val="none" w:sz="0" w:space="0" w:color="auto"/>
            <w:bottom w:val="none" w:sz="0" w:space="0" w:color="auto"/>
            <w:right w:val="none" w:sz="0" w:space="0" w:color="auto"/>
          </w:divBdr>
        </w:div>
        <w:div w:id="1561986855">
          <w:marLeft w:val="0"/>
          <w:marRight w:val="0"/>
          <w:marTop w:val="0"/>
          <w:marBottom w:val="0"/>
          <w:divBdr>
            <w:top w:val="none" w:sz="0" w:space="0" w:color="auto"/>
            <w:left w:val="none" w:sz="0" w:space="0" w:color="auto"/>
            <w:bottom w:val="none" w:sz="0" w:space="0" w:color="auto"/>
            <w:right w:val="none" w:sz="0" w:space="0" w:color="auto"/>
          </w:divBdr>
        </w:div>
        <w:div w:id="2048750370">
          <w:marLeft w:val="0"/>
          <w:marRight w:val="0"/>
          <w:marTop w:val="0"/>
          <w:marBottom w:val="0"/>
          <w:divBdr>
            <w:top w:val="none" w:sz="0" w:space="0" w:color="auto"/>
            <w:left w:val="none" w:sz="0" w:space="0" w:color="auto"/>
            <w:bottom w:val="none" w:sz="0" w:space="0" w:color="auto"/>
            <w:right w:val="none" w:sz="0" w:space="0" w:color="auto"/>
          </w:divBdr>
        </w:div>
        <w:div w:id="362826399">
          <w:marLeft w:val="0"/>
          <w:marRight w:val="0"/>
          <w:marTop w:val="0"/>
          <w:marBottom w:val="0"/>
          <w:divBdr>
            <w:top w:val="none" w:sz="0" w:space="0" w:color="auto"/>
            <w:left w:val="none" w:sz="0" w:space="0" w:color="auto"/>
            <w:bottom w:val="none" w:sz="0" w:space="0" w:color="auto"/>
            <w:right w:val="none" w:sz="0" w:space="0" w:color="auto"/>
          </w:divBdr>
        </w:div>
      </w:divsChild>
    </w:div>
    <w:div w:id="1345328469">
      <w:bodyDiv w:val="1"/>
      <w:marLeft w:val="0"/>
      <w:marRight w:val="0"/>
      <w:marTop w:val="0"/>
      <w:marBottom w:val="0"/>
      <w:divBdr>
        <w:top w:val="none" w:sz="0" w:space="0" w:color="auto"/>
        <w:left w:val="none" w:sz="0" w:space="0" w:color="auto"/>
        <w:bottom w:val="none" w:sz="0" w:space="0" w:color="auto"/>
        <w:right w:val="none" w:sz="0" w:space="0" w:color="auto"/>
      </w:divBdr>
      <w:divsChild>
        <w:div w:id="770512183">
          <w:marLeft w:val="0"/>
          <w:marRight w:val="0"/>
          <w:marTop w:val="0"/>
          <w:marBottom w:val="0"/>
          <w:divBdr>
            <w:top w:val="none" w:sz="0" w:space="0" w:color="auto"/>
            <w:left w:val="none" w:sz="0" w:space="0" w:color="auto"/>
            <w:bottom w:val="none" w:sz="0" w:space="0" w:color="auto"/>
            <w:right w:val="none" w:sz="0" w:space="0" w:color="auto"/>
          </w:divBdr>
        </w:div>
        <w:div w:id="1642344610">
          <w:marLeft w:val="0"/>
          <w:marRight w:val="0"/>
          <w:marTop w:val="0"/>
          <w:marBottom w:val="0"/>
          <w:divBdr>
            <w:top w:val="none" w:sz="0" w:space="0" w:color="auto"/>
            <w:left w:val="none" w:sz="0" w:space="0" w:color="auto"/>
            <w:bottom w:val="none" w:sz="0" w:space="0" w:color="auto"/>
            <w:right w:val="none" w:sz="0" w:space="0" w:color="auto"/>
          </w:divBdr>
        </w:div>
      </w:divsChild>
    </w:div>
    <w:div w:id="1360928934">
      <w:bodyDiv w:val="1"/>
      <w:marLeft w:val="0"/>
      <w:marRight w:val="0"/>
      <w:marTop w:val="0"/>
      <w:marBottom w:val="0"/>
      <w:divBdr>
        <w:top w:val="none" w:sz="0" w:space="0" w:color="auto"/>
        <w:left w:val="none" w:sz="0" w:space="0" w:color="auto"/>
        <w:bottom w:val="none" w:sz="0" w:space="0" w:color="auto"/>
        <w:right w:val="none" w:sz="0" w:space="0" w:color="auto"/>
      </w:divBdr>
    </w:div>
    <w:div w:id="1364984229">
      <w:bodyDiv w:val="1"/>
      <w:marLeft w:val="0"/>
      <w:marRight w:val="0"/>
      <w:marTop w:val="0"/>
      <w:marBottom w:val="0"/>
      <w:divBdr>
        <w:top w:val="none" w:sz="0" w:space="0" w:color="auto"/>
        <w:left w:val="none" w:sz="0" w:space="0" w:color="auto"/>
        <w:bottom w:val="none" w:sz="0" w:space="0" w:color="auto"/>
        <w:right w:val="none" w:sz="0" w:space="0" w:color="auto"/>
      </w:divBdr>
    </w:div>
    <w:div w:id="1383794395">
      <w:bodyDiv w:val="1"/>
      <w:marLeft w:val="0"/>
      <w:marRight w:val="0"/>
      <w:marTop w:val="0"/>
      <w:marBottom w:val="0"/>
      <w:divBdr>
        <w:top w:val="none" w:sz="0" w:space="0" w:color="auto"/>
        <w:left w:val="none" w:sz="0" w:space="0" w:color="auto"/>
        <w:bottom w:val="none" w:sz="0" w:space="0" w:color="auto"/>
        <w:right w:val="none" w:sz="0" w:space="0" w:color="auto"/>
      </w:divBdr>
    </w:div>
    <w:div w:id="1407993560">
      <w:bodyDiv w:val="1"/>
      <w:marLeft w:val="0"/>
      <w:marRight w:val="0"/>
      <w:marTop w:val="0"/>
      <w:marBottom w:val="0"/>
      <w:divBdr>
        <w:top w:val="none" w:sz="0" w:space="0" w:color="auto"/>
        <w:left w:val="none" w:sz="0" w:space="0" w:color="auto"/>
        <w:bottom w:val="none" w:sz="0" w:space="0" w:color="auto"/>
        <w:right w:val="none" w:sz="0" w:space="0" w:color="auto"/>
      </w:divBdr>
    </w:div>
    <w:div w:id="1418474459">
      <w:bodyDiv w:val="1"/>
      <w:marLeft w:val="0"/>
      <w:marRight w:val="0"/>
      <w:marTop w:val="0"/>
      <w:marBottom w:val="0"/>
      <w:divBdr>
        <w:top w:val="none" w:sz="0" w:space="0" w:color="auto"/>
        <w:left w:val="none" w:sz="0" w:space="0" w:color="auto"/>
        <w:bottom w:val="none" w:sz="0" w:space="0" w:color="auto"/>
        <w:right w:val="none" w:sz="0" w:space="0" w:color="auto"/>
      </w:divBdr>
      <w:divsChild>
        <w:div w:id="1631202923">
          <w:marLeft w:val="0"/>
          <w:marRight w:val="0"/>
          <w:marTop w:val="0"/>
          <w:marBottom w:val="0"/>
          <w:divBdr>
            <w:top w:val="none" w:sz="0" w:space="0" w:color="auto"/>
            <w:left w:val="none" w:sz="0" w:space="0" w:color="auto"/>
            <w:bottom w:val="none" w:sz="0" w:space="0" w:color="auto"/>
            <w:right w:val="none" w:sz="0" w:space="0" w:color="auto"/>
          </w:divBdr>
          <w:divsChild>
            <w:div w:id="2108502315">
              <w:marLeft w:val="0"/>
              <w:marRight w:val="0"/>
              <w:marTop w:val="0"/>
              <w:marBottom w:val="0"/>
              <w:divBdr>
                <w:top w:val="none" w:sz="0" w:space="0" w:color="auto"/>
                <w:left w:val="none" w:sz="0" w:space="0" w:color="auto"/>
                <w:bottom w:val="none" w:sz="0" w:space="0" w:color="auto"/>
                <w:right w:val="none" w:sz="0" w:space="0" w:color="auto"/>
              </w:divBdr>
              <w:divsChild>
                <w:div w:id="374234959">
                  <w:marLeft w:val="0"/>
                  <w:marRight w:val="0"/>
                  <w:marTop w:val="0"/>
                  <w:marBottom w:val="0"/>
                  <w:divBdr>
                    <w:top w:val="none" w:sz="0" w:space="0" w:color="auto"/>
                    <w:left w:val="none" w:sz="0" w:space="0" w:color="auto"/>
                    <w:bottom w:val="none" w:sz="0" w:space="0" w:color="auto"/>
                    <w:right w:val="none" w:sz="0" w:space="0" w:color="auto"/>
                  </w:divBdr>
                  <w:divsChild>
                    <w:div w:id="779683057">
                      <w:marLeft w:val="-15"/>
                      <w:marRight w:val="-15"/>
                      <w:marTop w:val="0"/>
                      <w:marBottom w:val="0"/>
                      <w:divBdr>
                        <w:top w:val="none" w:sz="0" w:space="0" w:color="auto"/>
                        <w:left w:val="none" w:sz="0" w:space="0" w:color="auto"/>
                        <w:bottom w:val="none" w:sz="0" w:space="0" w:color="auto"/>
                        <w:right w:val="none" w:sz="0" w:space="0" w:color="auto"/>
                      </w:divBdr>
                      <w:divsChild>
                        <w:div w:id="430054957">
                          <w:marLeft w:val="0"/>
                          <w:marRight w:val="0"/>
                          <w:marTop w:val="0"/>
                          <w:marBottom w:val="0"/>
                          <w:divBdr>
                            <w:top w:val="none" w:sz="0" w:space="0" w:color="auto"/>
                            <w:left w:val="none" w:sz="0" w:space="0" w:color="auto"/>
                            <w:bottom w:val="none" w:sz="0" w:space="0" w:color="auto"/>
                            <w:right w:val="none" w:sz="0" w:space="0" w:color="auto"/>
                          </w:divBdr>
                          <w:divsChild>
                            <w:div w:id="1155948268">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9256608">
      <w:bodyDiv w:val="1"/>
      <w:marLeft w:val="0"/>
      <w:marRight w:val="0"/>
      <w:marTop w:val="0"/>
      <w:marBottom w:val="0"/>
      <w:divBdr>
        <w:top w:val="none" w:sz="0" w:space="0" w:color="auto"/>
        <w:left w:val="none" w:sz="0" w:space="0" w:color="auto"/>
        <w:bottom w:val="none" w:sz="0" w:space="0" w:color="auto"/>
        <w:right w:val="none" w:sz="0" w:space="0" w:color="auto"/>
      </w:divBdr>
      <w:divsChild>
        <w:div w:id="49218150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435394713">
      <w:bodyDiv w:val="1"/>
      <w:marLeft w:val="0"/>
      <w:marRight w:val="0"/>
      <w:marTop w:val="0"/>
      <w:marBottom w:val="0"/>
      <w:divBdr>
        <w:top w:val="none" w:sz="0" w:space="0" w:color="auto"/>
        <w:left w:val="none" w:sz="0" w:space="0" w:color="auto"/>
        <w:bottom w:val="none" w:sz="0" w:space="0" w:color="auto"/>
        <w:right w:val="none" w:sz="0" w:space="0" w:color="auto"/>
      </w:divBdr>
    </w:div>
    <w:div w:id="1439370204">
      <w:bodyDiv w:val="1"/>
      <w:marLeft w:val="0"/>
      <w:marRight w:val="0"/>
      <w:marTop w:val="0"/>
      <w:marBottom w:val="0"/>
      <w:divBdr>
        <w:top w:val="none" w:sz="0" w:space="0" w:color="auto"/>
        <w:left w:val="none" w:sz="0" w:space="0" w:color="auto"/>
        <w:bottom w:val="none" w:sz="0" w:space="0" w:color="auto"/>
        <w:right w:val="none" w:sz="0" w:space="0" w:color="auto"/>
      </w:divBdr>
      <w:divsChild>
        <w:div w:id="1932272433">
          <w:marLeft w:val="0"/>
          <w:marRight w:val="0"/>
          <w:marTop w:val="0"/>
          <w:marBottom w:val="120"/>
          <w:divBdr>
            <w:top w:val="none" w:sz="0" w:space="0" w:color="auto"/>
            <w:left w:val="none" w:sz="0" w:space="0" w:color="auto"/>
            <w:bottom w:val="none" w:sz="0" w:space="0" w:color="auto"/>
            <w:right w:val="none" w:sz="0" w:space="0" w:color="auto"/>
          </w:divBdr>
        </w:div>
        <w:div w:id="1638799304">
          <w:marLeft w:val="0"/>
          <w:marRight w:val="0"/>
          <w:marTop w:val="0"/>
          <w:marBottom w:val="0"/>
          <w:divBdr>
            <w:top w:val="none" w:sz="0" w:space="0" w:color="auto"/>
            <w:left w:val="none" w:sz="0" w:space="0" w:color="auto"/>
            <w:bottom w:val="none" w:sz="0" w:space="0" w:color="auto"/>
            <w:right w:val="none" w:sz="0" w:space="0" w:color="auto"/>
          </w:divBdr>
          <w:divsChild>
            <w:div w:id="52305506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64158805">
      <w:bodyDiv w:val="1"/>
      <w:marLeft w:val="0"/>
      <w:marRight w:val="0"/>
      <w:marTop w:val="0"/>
      <w:marBottom w:val="0"/>
      <w:divBdr>
        <w:top w:val="none" w:sz="0" w:space="0" w:color="auto"/>
        <w:left w:val="none" w:sz="0" w:space="0" w:color="auto"/>
        <w:bottom w:val="none" w:sz="0" w:space="0" w:color="auto"/>
        <w:right w:val="none" w:sz="0" w:space="0" w:color="auto"/>
      </w:divBdr>
    </w:div>
    <w:div w:id="1466001253">
      <w:bodyDiv w:val="1"/>
      <w:marLeft w:val="0"/>
      <w:marRight w:val="0"/>
      <w:marTop w:val="0"/>
      <w:marBottom w:val="0"/>
      <w:divBdr>
        <w:top w:val="none" w:sz="0" w:space="0" w:color="auto"/>
        <w:left w:val="none" w:sz="0" w:space="0" w:color="auto"/>
        <w:bottom w:val="none" w:sz="0" w:space="0" w:color="auto"/>
        <w:right w:val="none" w:sz="0" w:space="0" w:color="auto"/>
      </w:divBdr>
    </w:div>
    <w:div w:id="1475217962">
      <w:bodyDiv w:val="1"/>
      <w:marLeft w:val="0"/>
      <w:marRight w:val="0"/>
      <w:marTop w:val="0"/>
      <w:marBottom w:val="0"/>
      <w:divBdr>
        <w:top w:val="none" w:sz="0" w:space="0" w:color="auto"/>
        <w:left w:val="none" w:sz="0" w:space="0" w:color="auto"/>
        <w:bottom w:val="none" w:sz="0" w:space="0" w:color="auto"/>
        <w:right w:val="none" w:sz="0" w:space="0" w:color="auto"/>
      </w:divBdr>
      <w:divsChild>
        <w:div w:id="1836342053">
          <w:marLeft w:val="0"/>
          <w:marRight w:val="0"/>
          <w:marTop w:val="0"/>
          <w:marBottom w:val="120"/>
          <w:divBdr>
            <w:top w:val="none" w:sz="0" w:space="0" w:color="auto"/>
            <w:left w:val="none" w:sz="0" w:space="0" w:color="auto"/>
            <w:bottom w:val="none" w:sz="0" w:space="0" w:color="auto"/>
            <w:right w:val="none" w:sz="0" w:space="0" w:color="auto"/>
          </w:divBdr>
        </w:div>
        <w:div w:id="1636134218">
          <w:marLeft w:val="0"/>
          <w:marRight w:val="0"/>
          <w:marTop w:val="0"/>
          <w:marBottom w:val="0"/>
          <w:divBdr>
            <w:top w:val="none" w:sz="0" w:space="0" w:color="auto"/>
            <w:left w:val="none" w:sz="0" w:space="0" w:color="auto"/>
            <w:bottom w:val="none" w:sz="0" w:space="0" w:color="auto"/>
            <w:right w:val="none" w:sz="0" w:space="0" w:color="auto"/>
          </w:divBdr>
          <w:divsChild>
            <w:div w:id="1042167357">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86165958">
      <w:bodyDiv w:val="1"/>
      <w:marLeft w:val="0"/>
      <w:marRight w:val="0"/>
      <w:marTop w:val="0"/>
      <w:marBottom w:val="0"/>
      <w:divBdr>
        <w:top w:val="none" w:sz="0" w:space="0" w:color="auto"/>
        <w:left w:val="none" w:sz="0" w:space="0" w:color="auto"/>
        <w:bottom w:val="none" w:sz="0" w:space="0" w:color="auto"/>
        <w:right w:val="none" w:sz="0" w:space="0" w:color="auto"/>
      </w:divBdr>
    </w:div>
    <w:div w:id="1486240452">
      <w:bodyDiv w:val="1"/>
      <w:marLeft w:val="0"/>
      <w:marRight w:val="0"/>
      <w:marTop w:val="0"/>
      <w:marBottom w:val="0"/>
      <w:divBdr>
        <w:top w:val="none" w:sz="0" w:space="0" w:color="auto"/>
        <w:left w:val="none" w:sz="0" w:space="0" w:color="auto"/>
        <w:bottom w:val="none" w:sz="0" w:space="0" w:color="auto"/>
        <w:right w:val="none" w:sz="0" w:space="0" w:color="auto"/>
      </w:divBdr>
    </w:div>
    <w:div w:id="1491675899">
      <w:bodyDiv w:val="1"/>
      <w:marLeft w:val="0"/>
      <w:marRight w:val="0"/>
      <w:marTop w:val="0"/>
      <w:marBottom w:val="0"/>
      <w:divBdr>
        <w:top w:val="none" w:sz="0" w:space="0" w:color="auto"/>
        <w:left w:val="none" w:sz="0" w:space="0" w:color="auto"/>
        <w:bottom w:val="none" w:sz="0" w:space="0" w:color="auto"/>
        <w:right w:val="none" w:sz="0" w:space="0" w:color="auto"/>
      </w:divBdr>
    </w:div>
    <w:div w:id="1497501209">
      <w:bodyDiv w:val="1"/>
      <w:marLeft w:val="0"/>
      <w:marRight w:val="0"/>
      <w:marTop w:val="0"/>
      <w:marBottom w:val="0"/>
      <w:divBdr>
        <w:top w:val="none" w:sz="0" w:space="0" w:color="auto"/>
        <w:left w:val="none" w:sz="0" w:space="0" w:color="auto"/>
        <w:bottom w:val="none" w:sz="0" w:space="0" w:color="auto"/>
        <w:right w:val="none" w:sz="0" w:space="0" w:color="auto"/>
      </w:divBdr>
    </w:div>
    <w:div w:id="1498883515">
      <w:bodyDiv w:val="1"/>
      <w:marLeft w:val="0"/>
      <w:marRight w:val="0"/>
      <w:marTop w:val="0"/>
      <w:marBottom w:val="0"/>
      <w:divBdr>
        <w:top w:val="none" w:sz="0" w:space="0" w:color="auto"/>
        <w:left w:val="none" w:sz="0" w:space="0" w:color="auto"/>
        <w:bottom w:val="none" w:sz="0" w:space="0" w:color="auto"/>
        <w:right w:val="none" w:sz="0" w:space="0" w:color="auto"/>
      </w:divBdr>
    </w:div>
    <w:div w:id="1527207377">
      <w:bodyDiv w:val="1"/>
      <w:marLeft w:val="0"/>
      <w:marRight w:val="0"/>
      <w:marTop w:val="0"/>
      <w:marBottom w:val="0"/>
      <w:divBdr>
        <w:top w:val="none" w:sz="0" w:space="0" w:color="auto"/>
        <w:left w:val="none" w:sz="0" w:space="0" w:color="auto"/>
        <w:bottom w:val="none" w:sz="0" w:space="0" w:color="auto"/>
        <w:right w:val="none" w:sz="0" w:space="0" w:color="auto"/>
      </w:divBdr>
    </w:div>
    <w:div w:id="1538159881">
      <w:bodyDiv w:val="1"/>
      <w:marLeft w:val="0"/>
      <w:marRight w:val="0"/>
      <w:marTop w:val="0"/>
      <w:marBottom w:val="0"/>
      <w:divBdr>
        <w:top w:val="none" w:sz="0" w:space="0" w:color="auto"/>
        <w:left w:val="none" w:sz="0" w:space="0" w:color="auto"/>
        <w:bottom w:val="none" w:sz="0" w:space="0" w:color="auto"/>
        <w:right w:val="none" w:sz="0" w:space="0" w:color="auto"/>
      </w:divBdr>
      <w:divsChild>
        <w:div w:id="1145464347">
          <w:marLeft w:val="0"/>
          <w:marRight w:val="0"/>
          <w:marTop w:val="150"/>
          <w:marBottom w:val="270"/>
          <w:divBdr>
            <w:top w:val="none" w:sz="0" w:space="0" w:color="auto"/>
            <w:left w:val="none" w:sz="0" w:space="0" w:color="auto"/>
            <w:bottom w:val="none" w:sz="0" w:space="0" w:color="auto"/>
            <w:right w:val="none" w:sz="0" w:space="0" w:color="auto"/>
          </w:divBdr>
        </w:div>
        <w:div w:id="1236892565">
          <w:marLeft w:val="0"/>
          <w:marRight w:val="0"/>
          <w:marTop w:val="150"/>
          <w:marBottom w:val="270"/>
          <w:divBdr>
            <w:top w:val="none" w:sz="0" w:space="0" w:color="auto"/>
            <w:left w:val="none" w:sz="0" w:space="0" w:color="auto"/>
            <w:bottom w:val="none" w:sz="0" w:space="0" w:color="auto"/>
            <w:right w:val="none" w:sz="0" w:space="0" w:color="auto"/>
          </w:divBdr>
        </w:div>
        <w:div w:id="1087118468">
          <w:marLeft w:val="0"/>
          <w:marRight w:val="0"/>
          <w:marTop w:val="150"/>
          <w:marBottom w:val="270"/>
          <w:divBdr>
            <w:top w:val="none" w:sz="0" w:space="0" w:color="auto"/>
            <w:left w:val="none" w:sz="0" w:space="0" w:color="auto"/>
            <w:bottom w:val="none" w:sz="0" w:space="0" w:color="auto"/>
            <w:right w:val="none" w:sz="0" w:space="0" w:color="auto"/>
          </w:divBdr>
        </w:div>
        <w:div w:id="147094342">
          <w:marLeft w:val="0"/>
          <w:marRight w:val="0"/>
          <w:marTop w:val="150"/>
          <w:marBottom w:val="270"/>
          <w:divBdr>
            <w:top w:val="none" w:sz="0" w:space="0" w:color="auto"/>
            <w:left w:val="none" w:sz="0" w:space="0" w:color="auto"/>
            <w:bottom w:val="none" w:sz="0" w:space="0" w:color="auto"/>
            <w:right w:val="none" w:sz="0" w:space="0" w:color="auto"/>
          </w:divBdr>
        </w:div>
      </w:divsChild>
    </w:div>
    <w:div w:id="1564172614">
      <w:bodyDiv w:val="1"/>
      <w:marLeft w:val="0"/>
      <w:marRight w:val="0"/>
      <w:marTop w:val="0"/>
      <w:marBottom w:val="0"/>
      <w:divBdr>
        <w:top w:val="none" w:sz="0" w:space="0" w:color="auto"/>
        <w:left w:val="none" w:sz="0" w:space="0" w:color="auto"/>
        <w:bottom w:val="none" w:sz="0" w:space="0" w:color="auto"/>
        <w:right w:val="none" w:sz="0" w:space="0" w:color="auto"/>
      </w:divBdr>
    </w:div>
    <w:div w:id="1564289585">
      <w:bodyDiv w:val="1"/>
      <w:marLeft w:val="0"/>
      <w:marRight w:val="0"/>
      <w:marTop w:val="0"/>
      <w:marBottom w:val="0"/>
      <w:divBdr>
        <w:top w:val="none" w:sz="0" w:space="0" w:color="auto"/>
        <w:left w:val="none" w:sz="0" w:space="0" w:color="auto"/>
        <w:bottom w:val="none" w:sz="0" w:space="0" w:color="auto"/>
        <w:right w:val="none" w:sz="0" w:space="0" w:color="auto"/>
      </w:divBdr>
    </w:div>
    <w:div w:id="1576011336">
      <w:bodyDiv w:val="1"/>
      <w:marLeft w:val="0"/>
      <w:marRight w:val="0"/>
      <w:marTop w:val="0"/>
      <w:marBottom w:val="0"/>
      <w:divBdr>
        <w:top w:val="none" w:sz="0" w:space="0" w:color="auto"/>
        <w:left w:val="none" w:sz="0" w:space="0" w:color="auto"/>
        <w:bottom w:val="none" w:sz="0" w:space="0" w:color="auto"/>
        <w:right w:val="none" w:sz="0" w:space="0" w:color="auto"/>
      </w:divBdr>
    </w:div>
    <w:div w:id="1580169586">
      <w:bodyDiv w:val="1"/>
      <w:marLeft w:val="0"/>
      <w:marRight w:val="0"/>
      <w:marTop w:val="0"/>
      <w:marBottom w:val="0"/>
      <w:divBdr>
        <w:top w:val="none" w:sz="0" w:space="0" w:color="auto"/>
        <w:left w:val="none" w:sz="0" w:space="0" w:color="auto"/>
        <w:bottom w:val="none" w:sz="0" w:space="0" w:color="auto"/>
        <w:right w:val="none" w:sz="0" w:space="0" w:color="auto"/>
      </w:divBdr>
    </w:div>
    <w:div w:id="1581520647">
      <w:bodyDiv w:val="1"/>
      <w:marLeft w:val="0"/>
      <w:marRight w:val="0"/>
      <w:marTop w:val="0"/>
      <w:marBottom w:val="0"/>
      <w:divBdr>
        <w:top w:val="none" w:sz="0" w:space="0" w:color="auto"/>
        <w:left w:val="none" w:sz="0" w:space="0" w:color="auto"/>
        <w:bottom w:val="none" w:sz="0" w:space="0" w:color="auto"/>
        <w:right w:val="none" w:sz="0" w:space="0" w:color="auto"/>
      </w:divBdr>
      <w:divsChild>
        <w:div w:id="2055543268">
          <w:marLeft w:val="0"/>
          <w:marRight w:val="0"/>
          <w:marTop w:val="0"/>
          <w:marBottom w:val="0"/>
          <w:divBdr>
            <w:top w:val="none" w:sz="0" w:space="0" w:color="auto"/>
            <w:left w:val="none" w:sz="0" w:space="0" w:color="auto"/>
            <w:bottom w:val="none" w:sz="0" w:space="0" w:color="auto"/>
            <w:right w:val="none" w:sz="0" w:space="0" w:color="auto"/>
          </w:divBdr>
        </w:div>
        <w:div w:id="1647707723">
          <w:marLeft w:val="0"/>
          <w:marRight w:val="0"/>
          <w:marTop w:val="0"/>
          <w:marBottom w:val="0"/>
          <w:divBdr>
            <w:top w:val="none" w:sz="0" w:space="0" w:color="auto"/>
            <w:left w:val="none" w:sz="0" w:space="0" w:color="auto"/>
            <w:bottom w:val="none" w:sz="0" w:space="0" w:color="auto"/>
            <w:right w:val="none" w:sz="0" w:space="0" w:color="auto"/>
          </w:divBdr>
        </w:div>
        <w:div w:id="1820032998">
          <w:marLeft w:val="0"/>
          <w:marRight w:val="0"/>
          <w:marTop w:val="0"/>
          <w:marBottom w:val="0"/>
          <w:divBdr>
            <w:top w:val="none" w:sz="0" w:space="0" w:color="auto"/>
            <w:left w:val="none" w:sz="0" w:space="0" w:color="auto"/>
            <w:bottom w:val="none" w:sz="0" w:space="0" w:color="auto"/>
            <w:right w:val="none" w:sz="0" w:space="0" w:color="auto"/>
          </w:divBdr>
        </w:div>
        <w:div w:id="1445659236">
          <w:marLeft w:val="0"/>
          <w:marRight w:val="0"/>
          <w:marTop w:val="0"/>
          <w:marBottom w:val="0"/>
          <w:divBdr>
            <w:top w:val="none" w:sz="0" w:space="0" w:color="auto"/>
            <w:left w:val="none" w:sz="0" w:space="0" w:color="auto"/>
            <w:bottom w:val="none" w:sz="0" w:space="0" w:color="auto"/>
            <w:right w:val="none" w:sz="0" w:space="0" w:color="auto"/>
          </w:divBdr>
        </w:div>
        <w:div w:id="1178235987">
          <w:marLeft w:val="0"/>
          <w:marRight w:val="0"/>
          <w:marTop w:val="0"/>
          <w:marBottom w:val="0"/>
          <w:divBdr>
            <w:top w:val="none" w:sz="0" w:space="0" w:color="auto"/>
            <w:left w:val="none" w:sz="0" w:space="0" w:color="auto"/>
            <w:bottom w:val="none" w:sz="0" w:space="0" w:color="auto"/>
            <w:right w:val="none" w:sz="0" w:space="0" w:color="auto"/>
          </w:divBdr>
        </w:div>
        <w:div w:id="1008093150">
          <w:marLeft w:val="0"/>
          <w:marRight w:val="0"/>
          <w:marTop w:val="0"/>
          <w:marBottom w:val="0"/>
          <w:divBdr>
            <w:top w:val="none" w:sz="0" w:space="0" w:color="auto"/>
            <w:left w:val="none" w:sz="0" w:space="0" w:color="auto"/>
            <w:bottom w:val="none" w:sz="0" w:space="0" w:color="auto"/>
            <w:right w:val="none" w:sz="0" w:space="0" w:color="auto"/>
          </w:divBdr>
        </w:div>
        <w:div w:id="937524559">
          <w:marLeft w:val="0"/>
          <w:marRight w:val="0"/>
          <w:marTop w:val="0"/>
          <w:marBottom w:val="0"/>
          <w:divBdr>
            <w:top w:val="none" w:sz="0" w:space="0" w:color="auto"/>
            <w:left w:val="none" w:sz="0" w:space="0" w:color="auto"/>
            <w:bottom w:val="none" w:sz="0" w:space="0" w:color="auto"/>
            <w:right w:val="none" w:sz="0" w:space="0" w:color="auto"/>
          </w:divBdr>
        </w:div>
      </w:divsChild>
    </w:div>
    <w:div w:id="1582181590">
      <w:bodyDiv w:val="1"/>
      <w:marLeft w:val="0"/>
      <w:marRight w:val="0"/>
      <w:marTop w:val="0"/>
      <w:marBottom w:val="0"/>
      <w:divBdr>
        <w:top w:val="none" w:sz="0" w:space="0" w:color="auto"/>
        <w:left w:val="none" w:sz="0" w:space="0" w:color="auto"/>
        <w:bottom w:val="none" w:sz="0" w:space="0" w:color="auto"/>
        <w:right w:val="none" w:sz="0" w:space="0" w:color="auto"/>
      </w:divBdr>
    </w:div>
    <w:div w:id="1589313761">
      <w:bodyDiv w:val="1"/>
      <w:marLeft w:val="0"/>
      <w:marRight w:val="0"/>
      <w:marTop w:val="0"/>
      <w:marBottom w:val="0"/>
      <w:divBdr>
        <w:top w:val="none" w:sz="0" w:space="0" w:color="auto"/>
        <w:left w:val="none" w:sz="0" w:space="0" w:color="auto"/>
        <w:bottom w:val="none" w:sz="0" w:space="0" w:color="auto"/>
        <w:right w:val="none" w:sz="0" w:space="0" w:color="auto"/>
      </w:divBdr>
    </w:div>
    <w:div w:id="1591693506">
      <w:bodyDiv w:val="1"/>
      <w:marLeft w:val="0"/>
      <w:marRight w:val="0"/>
      <w:marTop w:val="0"/>
      <w:marBottom w:val="0"/>
      <w:divBdr>
        <w:top w:val="none" w:sz="0" w:space="0" w:color="auto"/>
        <w:left w:val="none" w:sz="0" w:space="0" w:color="auto"/>
        <w:bottom w:val="none" w:sz="0" w:space="0" w:color="auto"/>
        <w:right w:val="none" w:sz="0" w:space="0" w:color="auto"/>
      </w:divBdr>
    </w:div>
    <w:div w:id="1606226869">
      <w:bodyDiv w:val="1"/>
      <w:marLeft w:val="0"/>
      <w:marRight w:val="0"/>
      <w:marTop w:val="0"/>
      <w:marBottom w:val="0"/>
      <w:divBdr>
        <w:top w:val="none" w:sz="0" w:space="0" w:color="auto"/>
        <w:left w:val="none" w:sz="0" w:space="0" w:color="auto"/>
        <w:bottom w:val="none" w:sz="0" w:space="0" w:color="auto"/>
        <w:right w:val="none" w:sz="0" w:space="0" w:color="auto"/>
      </w:divBdr>
    </w:div>
    <w:div w:id="1612084538">
      <w:bodyDiv w:val="1"/>
      <w:marLeft w:val="0"/>
      <w:marRight w:val="0"/>
      <w:marTop w:val="0"/>
      <w:marBottom w:val="0"/>
      <w:divBdr>
        <w:top w:val="none" w:sz="0" w:space="0" w:color="auto"/>
        <w:left w:val="none" w:sz="0" w:space="0" w:color="auto"/>
        <w:bottom w:val="none" w:sz="0" w:space="0" w:color="auto"/>
        <w:right w:val="none" w:sz="0" w:space="0" w:color="auto"/>
      </w:divBdr>
    </w:div>
    <w:div w:id="1620645715">
      <w:bodyDiv w:val="1"/>
      <w:marLeft w:val="0"/>
      <w:marRight w:val="0"/>
      <w:marTop w:val="0"/>
      <w:marBottom w:val="0"/>
      <w:divBdr>
        <w:top w:val="none" w:sz="0" w:space="0" w:color="auto"/>
        <w:left w:val="none" w:sz="0" w:space="0" w:color="auto"/>
        <w:bottom w:val="none" w:sz="0" w:space="0" w:color="auto"/>
        <w:right w:val="none" w:sz="0" w:space="0" w:color="auto"/>
      </w:divBdr>
    </w:div>
    <w:div w:id="1627545739">
      <w:bodyDiv w:val="1"/>
      <w:marLeft w:val="0"/>
      <w:marRight w:val="0"/>
      <w:marTop w:val="0"/>
      <w:marBottom w:val="0"/>
      <w:divBdr>
        <w:top w:val="none" w:sz="0" w:space="0" w:color="auto"/>
        <w:left w:val="none" w:sz="0" w:space="0" w:color="auto"/>
        <w:bottom w:val="none" w:sz="0" w:space="0" w:color="auto"/>
        <w:right w:val="none" w:sz="0" w:space="0" w:color="auto"/>
      </w:divBdr>
    </w:div>
    <w:div w:id="1635791366">
      <w:bodyDiv w:val="1"/>
      <w:marLeft w:val="0"/>
      <w:marRight w:val="0"/>
      <w:marTop w:val="0"/>
      <w:marBottom w:val="0"/>
      <w:divBdr>
        <w:top w:val="none" w:sz="0" w:space="0" w:color="auto"/>
        <w:left w:val="none" w:sz="0" w:space="0" w:color="auto"/>
        <w:bottom w:val="none" w:sz="0" w:space="0" w:color="auto"/>
        <w:right w:val="none" w:sz="0" w:space="0" w:color="auto"/>
      </w:divBdr>
    </w:div>
    <w:div w:id="1636833362">
      <w:bodyDiv w:val="1"/>
      <w:marLeft w:val="0"/>
      <w:marRight w:val="0"/>
      <w:marTop w:val="0"/>
      <w:marBottom w:val="0"/>
      <w:divBdr>
        <w:top w:val="none" w:sz="0" w:space="0" w:color="auto"/>
        <w:left w:val="none" w:sz="0" w:space="0" w:color="auto"/>
        <w:bottom w:val="none" w:sz="0" w:space="0" w:color="auto"/>
        <w:right w:val="none" w:sz="0" w:space="0" w:color="auto"/>
      </w:divBdr>
      <w:divsChild>
        <w:div w:id="993996435">
          <w:marLeft w:val="0"/>
          <w:marRight w:val="0"/>
          <w:marTop w:val="48"/>
          <w:marBottom w:val="120"/>
          <w:divBdr>
            <w:top w:val="none" w:sz="0" w:space="0" w:color="auto"/>
            <w:left w:val="none" w:sz="0" w:space="0" w:color="auto"/>
            <w:bottom w:val="none" w:sz="0" w:space="0" w:color="auto"/>
            <w:right w:val="none" w:sz="0" w:space="0" w:color="auto"/>
          </w:divBdr>
          <w:divsChild>
            <w:div w:id="10080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216730">
      <w:bodyDiv w:val="1"/>
      <w:marLeft w:val="0"/>
      <w:marRight w:val="0"/>
      <w:marTop w:val="0"/>
      <w:marBottom w:val="0"/>
      <w:divBdr>
        <w:top w:val="none" w:sz="0" w:space="0" w:color="auto"/>
        <w:left w:val="none" w:sz="0" w:space="0" w:color="auto"/>
        <w:bottom w:val="none" w:sz="0" w:space="0" w:color="auto"/>
        <w:right w:val="none" w:sz="0" w:space="0" w:color="auto"/>
      </w:divBdr>
    </w:div>
    <w:div w:id="1663926033">
      <w:bodyDiv w:val="1"/>
      <w:marLeft w:val="0"/>
      <w:marRight w:val="0"/>
      <w:marTop w:val="0"/>
      <w:marBottom w:val="0"/>
      <w:divBdr>
        <w:top w:val="none" w:sz="0" w:space="0" w:color="auto"/>
        <w:left w:val="none" w:sz="0" w:space="0" w:color="auto"/>
        <w:bottom w:val="none" w:sz="0" w:space="0" w:color="auto"/>
        <w:right w:val="none" w:sz="0" w:space="0" w:color="auto"/>
      </w:divBdr>
    </w:div>
    <w:div w:id="1683583732">
      <w:bodyDiv w:val="1"/>
      <w:marLeft w:val="0"/>
      <w:marRight w:val="0"/>
      <w:marTop w:val="0"/>
      <w:marBottom w:val="0"/>
      <w:divBdr>
        <w:top w:val="none" w:sz="0" w:space="0" w:color="auto"/>
        <w:left w:val="none" w:sz="0" w:space="0" w:color="auto"/>
        <w:bottom w:val="none" w:sz="0" w:space="0" w:color="auto"/>
        <w:right w:val="none" w:sz="0" w:space="0" w:color="auto"/>
      </w:divBdr>
      <w:divsChild>
        <w:div w:id="937061716">
          <w:marLeft w:val="0"/>
          <w:marRight w:val="0"/>
          <w:marTop w:val="0"/>
          <w:marBottom w:val="0"/>
          <w:divBdr>
            <w:top w:val="none" w:sz="0" w:space="0" w:color="auto"/>
            <w:left w:val="none" w:sz="0" w:space="0" w:color="auto"/>
            <w:bottom w:val="none" w:sz="0" w:space="0" w:color="auto"/>
            <w:right w:val="none" w:sz="0" w:space="0" w:color="auto"/>
          </w:divBdr>
        </w:div>
        <w:div w:id="1531380412">
          <w:marLeft w:val="0"/>
          <w:marRight w:val="0"/>
          <w:marTop w:val="0"/>
          <w:marBottom w:val="0"/>
          <w:divBdr>
            <w:top w:val="none" w:sz="0" w:space="0" w:color="auto"/>
            <w:left w:val="none" w:sz="0" w:space="0" w:color="auto"/>
            <w:bottom w:val="none" w:sz="0" w:space="0" w:color="auto"/>
            <w:right w:val="none" w:sz="0" w:space="0" w:color="auto"/>
          </w:divBdr>
        </w:div>
        <w:div w:id="2122145832">
          <w:marLeft w:val="0"/>
          <w:marRight w:val="0"/>
          <w:marTop w:val="0"/>
          <w:marBottom w:val="0"/>
          <w:divBdr>
            <w:top w:val="none" w:sz="0" w:space="0" w:color="auto"/>
            <w:left w:val="none" w:sz="0" w:space="0" w:color="auto"/>
            <w:bottom w:val="none" w:sz="0" w:space="0" w:color="auto"/>
            <w:right w:val="none" w:sz="0" w:space="0" w:color="auto"/>
          </w:divBdr>
        </w:div>
        <w:div w:id="291792445">
          <w:marLeft w:val="0"/>
          <w:marRight w:val="0"/>
          <w:marTop w:val="0"/>
          <w:marBottom w:val="0"/>
          <w:divBdr>
            <w:top w:val="none" w:sz="0" w:space="0" w:color="auto"/>
            <w:left w:val="none" w:sz="0" w:space="0" w:color="auto"/>
            <w:bottom w:val="none" w:sz="0" w:space="0" w:color="auto"/>
            <w:right w:val="none" w:sz="0" w:space="0" w:color="auto"/>
          </w:divBdr>
        </w:div>
        <w:div w:id="1390612989">
          <w:marLeft w:val="0"/>
          <w:marRight w:val="0"/>
          <w:marTop w:val="0"/>
          <w:marBottom w:val="0"/>
          <w:divBdr>
            <w:top w:val="none" w:sz="0" w:space="0" w:color="auto"/>
            <w:left w:val="none" w:sz="0" w:space="0" w:color="auto"/>
            <w:bottom w:val="none" w:sz="0" w:space="0" w:color="auto"/>
            <w:right w:val="none" w:sz="0" w:space="0" w:color="auto"/>
          </w:divBdr>
        </w:div>
        <w:div w:id="626351314">
          <w:marLeft w:val="0"/>
          <w:marRight w:val="0"/>
          <w:marTop w:val="0"/>
          <w:marBottom w:val="0"/>
          <w:divBdr>
            <w:top w:val="none" w:sz="0" w:space="0" w:color="auto"/>
            <w:left w:val="none" w:sz="0" w:space="0" w:color="auto"/>
            <w:bottom w:val="none" w:sz="0" w:space="0" w:color="auto"/>
            <w:right w:val="none" w:sz="0" w:space="0" w:color="auto"/>
          </w:divBdr>
        </w:div>
        <w:div w:id="221136403">
          <w:marLeft w:val="0"/>
          <w:marRight w:val="0"/>
          <w:marTop w:val="0"/>
          <w:marBottom w:val="0"/>
          <w:divBdr>
            <w:top w:val="none" w:sz="0" w:space="0" w:color="auto"/>
            <w:left w:val="none" w:sz="0" w:space="0" w:color="auto"/>
            <w:bottom w:val="none" w:sz="0" w:space="0" w:color="auto"/>
            <w:right w:val="none" w:sz="0" w:space="0" w:color="auto"/>
          </w:divBdr>
        </w:div>
      </w:divsChild>
    </w:div>
    <w:div w:id="1684285852">
      <w:bodyDiv w:val="1"/>
      <w:marLeft w:val="0"/>
      <w:marRight w:val="0"/>
      <w:marTop w:val="0"/>
      <w:marBottom w:val="0"/>
      <w:divBdr>
        <w:top w:val="none" w:sz="0" w:space="0" w:color="auto"/>
        <w:left w:val="none" w:sz="0" w:space="0" w:color="auto"/>
        <w:bottom w:val="none" w:sz="0" w:space="0" w:color="auto"/>
        <w:right w:val="none" w:sz="0" w:space="0" w:color="auto"/>
      </w:divBdr>
      <w:divsChild>
        <w:div w:id="280965519">
          <w:marLeft w:val="0"/>
          <w:marRight w:val="0"/>
          <w:marTop w:val="0"/>
          <w:marBottom w:val="0"/>
          <w:divBdr>
            <w:top w:val="none" w:sz="0" w:space="0" w:color="auto"/>
            <w:left w:val="none" w:sz="0" w:space="0" w:color="auto"/>
            <w:bottom w:val="none" w:sz="0" w:space="0" w:color="auto"/>
            <w:right w:val="none" w:sz="0" w:space="0" w:color="auto"/>
          </w:divBdr>
        </w:div>
      </w:divsChild>
    </w:div>
    <w:div w:id="1691909275">
      <w:bodyDiv w:val="1"/>
      <w:marLeft w:val="0"/>
      <w:marRight w:val="0"/>
      <w:marTop w:val="0"/>
      <w:marBottom w:val="0"/>
      <w:divBdr>
        <w:top w:val="none" w:sz="0" w:space="0" w:color="auto"/>
        <w:left w:val="none" w:sz="0" w:space="0" w:color="auto"/>
        <w:bottom w:val="none" w:sz="0" w:space="0" w:color="auto"/>
        <w:right w:val="none" w:sz="0" w:space="0" w:color="auto"/>
      </w:divBdr>
    </w:div>
    <w:div w:id="1692757160">
      <w:bodyDiv w:val="1"/>
      <w:marLeft w:val="0"/>
      <w:marRight w:val="0"/>
      <w:marTop w:val="0"/>
      <w:marBottom w:val="0"/>
      <w:divBdr>
        <w:top w:val="none" w:sz="0" w:space="0" w:color="auto"/>
        <w:left w:val="none" w:sz="0" w:space="0" w:color="auto"/>
        <w:bottom w:val="none" w:sz="0" w:space="0" w:color="auto"/>
        <w:right w:val="none" w:sz="0" w:space="0" w:color="auto"/>
      </w:divBdr>
    </w:div>
    <w:div w:id="1696728051">
      <w:bodyDiv w:val="1"/>
      <w:marLeft w:val="0"/>
      <w:marRight w:val="0"/>
      <w:marTop w:val="0"/>
      <w:marBottom w:val="0"/>
      <w:divBdr>
        <w:top w:val="none" w:sz="0" w:space="0" w:color="auto"/>
        <w:left w:val="none" w:sz="0" w:space="0" w:color="auto"/>
        <w:bottom w:val="none" w:sz="0" w:space="0" w:color="auto"/>
        <w:right w:val="none" w:sz="0" w:space="0" w:color="auto"/>
      </w:divBdr>
    </w:div>
    <w:div w:id="1699964802">
      <w:bodyDiv w:val="1"/>
      <w:marLeft w:val="0"/>
      <w:marRight w:val="0"/>
      <w:marTop w:val="0"/>
      <w:marBottom w:val="0"/>
      <w:divBdr>
        <w:top w:val="none" w:sz="0" w:space="0" w:color="auto"/>
        <w:left w:val="none" w:sz="0" w:space="0" w:color="auto"/>
        <w:bottom w:val="none" w:sz="0" w:space="0" w:color="auto"/>
        <w:right w:val="none" w:sz="0" w:space="0" w:color="auto"/>
      </w:divBdr>
    </w:div>
    <w:div w:id="1701319817">
      <w:bodyDiv w:val="1"/>
      <w:marLeft w:val="0"/>
      <w:marRight w:val="0"/>
      <w:marTop w:val="0"/>
      <w:marBottom w:val="0"/>
      <w:divBdr>
        <w:top w:val="none" w:sz="0" w:space="0" w:color="auto"/>
        <w:left w:val="none" w:sz="0" w:space="0" w:color="auto"/>
        <w:bottom w:val="none" w:sz="0" w:space="0" w:color="auto"/>
        <w:right w:val="none" w:sz="0" w:space="0" w:color="auto"/>
      </w:divBdr>
    </w:div>
    <w:div w:id="1703050051">
      <w:bodyDiv w:val="1"/>
      <w:marLeft w:val="0"/>
      <w:marRight w:val="0"/>
      <w:marTop w:val="0"/>
      <w:marBottom w:val="0"/>
      <w:divBdr>
        <w:top w:val="none" w:sz="0" w:space="0" w:color="auto"/>
        <w:left w:val="none" w:sz="0" w:space="0" w:color="auto"/>
        <w:bottom w:val="none" w:sz="0" w:space="0" w:color="auto"/>
        <w:right w:val="none" w:sz="0" w:space="0" w:color="auto"/>
      </w:divBdr>
    </w:div>
    <w:div w:id="1717314535">
      <w:bodyDiv w:val="1"/>
      <w:marLeft w:val="0"/>
      <w:marRight w:val="0"/>
      <w:marTop w:val="0"/>
      <w:marBottom w:val="0"/>
      <w:divBdr>
        <w:top w:val="none" w:sz="0" w:space="0" w:color="auto"/>
        <w:left w:val="none" w:sz="0" w:space="0" w:color="auto"/>
        <w:bottom w:val="none" w:sz="0" w:space="0" w:color="auto"/>
        <w:right w:val="none" w:sz="0" w:space="0" w:color="auto"/>
      </w:divBdr>
    </w:div>
    <w:div w:id="1717386471">
      <w:bodyDiv w:val="1"/>
      <w:marLeft w:val="0"/>
      <w:marRight w:val="0"/>
      <w:marTop w:val="0"/>
      <w:marBottom w:val="0"/>
      <w:divBdr>
        <w:top w:val="none" w:sz="0" w:space="0" w:color="auto"/>
        <w:left w:val="none" w:sz="0" w:space="0" w:color="auto"/>
        <w:bottom w:val="none" w:sz="0" w:space="0" w:color="auto"/>
        <w:right w:val="none" w:sz="0" w:space="0" w:color="auto"/>
      </w:divBdr>
    </w:div>
    <w:div w:id="1719891749">
      <w:bodyDiv w:val="1"/>
      <w:marLeft w:val="0"/>
      <w:marRight w:val="0"/>
      <w:marTop w:val="0"/>
      <w:marBottom w:val="0"/>
      <w:divBdr>
        <w:top w:val="none" w:sz="0" w:space="0" w:color="auto"/>
        <w:left w:val="none" w:sz="0" w:space="0" w:color="auto"/>
        <w:bottom w:val="none" w:sz="0" w:space="0" w:color="auto"/>
        <w:right w:val="none" w:sz="0" w:space="0" w:color="auto"/>
      </w:divBdr>
      <w:divsChild>
        <w:div w:id="1300918831">
          <w:marLeft w:val="0"/>
          <w:marRight w:val="0"/>
          <w:marTop w:val="0"/>
          <w:marBottom w:val="120"/>
          <w:divBdr>
            <w:top w:val="none" w:sz="0" w:space="0" w:color="auto"/>
            <w:left w:val="none" w:sz="0" w:space="0" w:color="auto"/>
            <w:bottom w:val="none" w:sz="0" w:space="0" w:color="auto"/>
            <w:right w:val="none" w:sz="0" w:space="0" w:color="auto"/>
          </w:divBdr>
        </w:div>
        <w:div w:id="464660345">
          <w:marLeft w:val="0"/>
          <w:marRight w:val="0"/>
          <w:marTop w:val="0"/>
          <w:marBottom w:val="0"/>
          <w:divBdr>
            <w:top w:val="none" w:sz="0" w:space="0" w:color="auto"/>
            <w:left w:val="none" w:sz="0" w:space="0" w:color="auto"/>
            <w:bottom w:val="none" w:sz="0" w:space="0" w:color="auto"/>
            <w:right w:val="none" w:sz="0" w:space="0" w:color="auto"/>
          </w:divBdr>
        </w:div>
      </w:divsChild>
    </w:div>
    <w:div w:id="1726680622">
      <w:bodyDiv w:val="1"/>
      <w:marLeft w:val="0"/>
      <w:marRight w:val="0"/>
      <w:marTop w:val="0"/>
      <w:marBottom w:val="0"/>
      <w:divBdr>
        <w:top w:val="none" w:sz="0" w:space="0" w:color="auto"/>
        <w:left w:val="none" w:sz="0" w:space="0" w:color="auto"/>
        <w:bottom w:val="none" w:sz="0" w:space="0" w:color="auto"/>
        <w:right w:val="none" w:sz="0" w:space="0" w:color="auto"/>
      </w:divBdr>
    </w:div>
    <w:div w:id="1735470768">
      <w:bodyDiv w:val="1"/>
      <w:marLeft w:val="0"/>
      <w:marRight w:val="0"/>
      <w:marTop w:val="0"/>
      <w:marBottom w:val="0"/>
      <w:divBdr>
        <w:top w:val="none" w:sz="0" w:space="0" w:color="auto"/>
        <w:left w:val="none" w:sz="0" w:space="0" w:color="auto"/>
        <w:bottom w:val="none" w:sz="0" w:space="0" w:color="auto"/>
        <w:right w:val="none" w:sz="0" w:space="0" w:color="auto"/>
      </w:divBdr>
      <w:divsChild>
        <w:div w:id="1849981339">
          <w:marLeft w:val="0"/>
          <w:marRight w:val="0"/>
          <w:marTop w:val="0"/>
          <w:marBottom w:val="0"/>
          <w:divBdr>
            <w:top w:val="none" w:sz="0" w:space="0" w:color="auto"/>
            <w:left w:val="none" w:sz="0" w:space="0" w:color="auto"/>
            <w:bottom w:val="none" w:sz="0" w:space="0" w:color="auto"/>
            <w:right w:val="none" w:sz="0" w:space="0" w:color="auto"/>
          </w:divBdr>
        </w:div>
        <w:div w:id="1356005649">
          <w:marLeft w:val="0"/>
          <w:marRight w:val="0"/>
          <w:marTop w:val="0"/>
          <w:marBottom w:val="0"/>
          <w:divBdr>
            <w:top w:val="none" w:sz="0" w:space="0" w:color="auto"/>
            <w:left w:val="none" w:sz="0" w:space="0" w:color="auto"/>
            <w:bottom w:val="none" w:sz="0" w:space="0" w:color="auto"/>
            <w:right w:val="none" w:sz="0" w:space="0" w:color="auto"/>
          </w:divBdr>
        </w:div>
      </w:divsChild>
    </w:div>
    <w:div w:id="1751389258">
      <w:bodyDiv w:val="1"/>
      <w:marLeft w:val="0"/>
      <w:marRight w:val="0"/>
      <w:marTop w:val="0"/>
      <w:marBottom w:val="0"/>
      <w:divBdr>
        <w:top w:val="none" w:sz="0" w:space="0" w:color="auto"/>
        <w:left w:val="none" w:sz="0" w:space="0" w:color="auto"/>
        <w:bottom w:val="none" w:sz="0" w:space="0" w:color="auto"/>
        <w:right w:val="none" w:sz="0" w:space="0" w:color="auto"/>
      </w:divBdr>
      <w:divsChild>
        <w:div w:id="565577992">
          <w:marLeft w:val="0"/>
          <w:marRight w:val="0"/>
          <w:marTop w:val="0"/>
          <w:marBottom w:val="120"/>
          <w:divBdr>
            <w:top w:val="none" w:sz="0" w:space="0" w:color="auto"/>
            <w:left w:val="none" w:sz="0" w:space="0" w:color="auto"/>
            <w:bottom w:val="none" w:sz="0" w:space="0" w:color="auto"/>
            <w:right w:val="none" w:sz="0" w:space="0" w:color="auto"/>
          </w:divBdr>
        </w:div>
        <w:div w:id="872115123">
          <w:marLeft w:val="0"/>
          <w:marRight w:val="0"/>
          <w:marTop w:val="0"/>
          <w:marBottom w:val="0"/>
          <w:divBdr>
            <w:top w:val="none" w:sz="0" w:space="0" w:color="auto"/>
            <w:left w:val="none" w:sz="0" w:space="0" w:color="auto"/>
            <w:bottom w:val="none" w:sz="0" w:space="0" w:color="auto"/>
            <w:right w:val="none" w:sz="0" w:space="0" w:color="auto"/>
          </w:divBdr>
          <w:divsChild>
            <w:div w:id="197810583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761678710">
      <w:bodyDiv w:val="1"/>
      <w:marLeft w:val="0"/>
      <w:marRight w:val="0"/>
      <w:marTop w:val="0"/>
      <w:marBottom w:val="0"/>
      <w:divBdr>
        <w:top w:val="none" w:sz="0" w:space="0" w:color="auto"/>
        <w:left w:val="none" w:sz="0" w:space="0" w:color="auto"/>
        <w:bottom w:val="none" w:sz="0" w:space="0" w:color="auto"/>
        <w:right w:val="none" w:sz="0" w:space="0" w:color="auto"/>
      </w:divBdr>
    </w:div>
    <w:div w:id="1767114018">
      <w:bodyDiv w:val="1"/>
      <w:marLeft w:val="0"/>
      <w:marRight w:val="0"/>
      <w:marTop w:val="0"/>
      <w:marBottom w:val="0"/>
      <w:divBdr>
        <w:top w:val="none" w:sz="0" w:space="0" w:color="auto"/>
        <w:left w:val="none" w:sz="0" w:space="0" w:color="auto"/>
        <w:bottom w:val="none" w:sz="0" w:space="0" w:color="auto"/>
        <w:right w:val="none" w:sz="0" w:space="0" w:color="auto"/>
      </w:divBdr>
      <w:divsChild>
        <w:div w:id="1551921145">
          <w:marLeft w:val="0"/>
          <w:marRight w:val="0"/>
          <w:marTop w:val="0"/>
          <w:marBottom w:val="0"/>
          <w:divBdr>
            <w:top w:val="none" w:sz="0" w:space="0" w:color="auto"/>
            <w:left w:val="none" w:sz="0" w:space="0" w:color="auto"/>
            <w:bottom w:val="none" w:sz="0" w:space="0" w:color="auto"/>
            <w:right w:val="none" w:sz="0" w:space="0" w:color="auto"/>
          </w:divBdr>
          <w:divsChild>
            <w:div w:id="960843207">
              <w:marLeft w:val="0"/>
              <w:marRight w:val="-2100"/>
              <w:marTop w:val="0"/>
              <w:marBottom w:val="0"/>
              <w:divBdr>
                <w:top w:val="none" w:sz="0" w:space="0" w:color="auto"/>
                <w:left w:val="none" w:sz="0" w:space="0" w:color="auto"/>
                <w:bottom w:val="none" w:sz="0" w:space="0" w:color="auto"/>
                <w:right w:val="none" w:sz="0" w:space="0" w:color="auto"/>
              </w:divBdr>
              <w:divsChild>
                <w:div w:id="2113282566">
                  <w:marLeft w:val="0"/>
                  <w:marRight w:val="2100"/>
                  <w:marTop w:val="0"/>
                  <w:marBottom w:val="0"/>
                  <w:divBdr>
                    <w:top w:val="none" w:sz="0" w:space="0" w:color="auto"/>
                    <w:left w:val="none" w:sz="0" w:space="0" w:color="auto"/>
                    <w:bottom w:val="none" w:sz="0" w:space="0" w:color="auto"/>
                    <w:right w:val="none" w:sz="0" w:space="0" w:color="auto"/>
                  </w:divBdr>
                </w:div>
                <w:div w:id="1384670186">
                  <w:marLeft w:val="0"/>
                  <w:marRight w:val="2100"/>
                  <w:marTop w:val="0"/>
                  <w:marBottom w:val="0"/>
                  <w:divBdr>
                    <w:top w:val="none" w:sz="0" w:space="0" w:color="auto"/>
                    <w:left w:val="none" w:sz="0" w:space="0" w:color="auto"/>
                    <w:bottom w:val="none" w:sz="0" w:space="0" w:color="auto"/>
                    <w:right w:val="none" w:sz="0" w:space="0" w:color="auto"/>
                  </w:divBdr>
                </w:div>
              </w:divsChild>
            </w:div>
            <w:div w:id="1790466733">
              <w:marLeft w:val="0"/>
              <w:marRight w:val="0"/>
              <w:marTop w:val="0"/>
              <w:marBottom w:val="30"/>
              <w:divBdr>
                <w:top w:val="none" w:sz="0" w:space="0" w:color="auto"/>
                <w:left w:val="none" w:sz="0" w:space="0" w:color="auto"/>
                <w:bottom w:val="none" w:sz="0" w:space="0" w:color="auto"/>
                <w:right w:val="none" w:sz="0" w:space="0" w:color="auto"/>
              </w:divBdr>
            </w:div>
            <w:div w:id="1340309131">
              <w:marLeft w:val="0"/>
              <w:marRight w:val="0"/>
              <w:marTop w:val="0"/>
              <w:marBottom w:val="30"/>
              <w:divBdr>
                <w:top w:val="none" w:sz="0" w:space="0" w:color="auto"/>
                <w:left w:val="none" w:sz="0" w:space="0" w:color="auto"/>
                <w:bottom w:val="none" w:sz="0" w:space="0" w:color="auto"/>
                <w:right w:val="none" w:sz="0" w:space="0" w:color="auto"/>
              </w:divBdr>
            </w:div>
            <w:div w:id="1383823826">
              <w:marLeft w:val="0"/>
              <w:marRight w:val="0"/>
              <w:marTop w:val="0"/>
              <w:marBottom w:val="30"/>
              <w:divBdr>
                <w:top w:val="none" w:sz="0" w:space="0" w:color="auto"/>
                <w:left w:val="none" w:sz="0" w:space="0" w:color="auto"/>
                <w:bottom w:val="none" w:sz="0" w:space="0" w:color="auto"/>
                <w:right w:val="none" w:sz="0" w:space="0" w:color="auto"/>
              </w:divBdr>
            </w:div>
            <w:div w:id="109278176">
              <w:marLeft w:val="0"/>
              <w:marRight w:val="0"/>
              <w:marTop w:val="0"/>
              <w:marBottom w:val="30"/>
              <w:divBdr>
                <w:top w:val="none" w:sz="0" w:space="0" w:color="auto"/>
                <w:left w:val="none" w:sz="0" w:space="0" w:color="auto"/>
                <w:bottom w:val="none" w:sz="0" w:space="0" w:color="auto"/>
                <w:right w:val="none" w:sz="0" w:space="0" w:color="auto"/>
              </w:divBdr>
            </w:div>
            <w:div w:id="1062364419">
              <w:marLeft w:val="0"/>
              <w:marRight w:val="-2100"/>
              <w:marTop w:val="0"/>
              <w:marBottom w:val="0"/>
              <w:divBdr>
                <w:top w:val="none" w:sz="0" w:space="0" w:color="auto"/>
                <w:left w:val="none" w:sz="0" w:space="0" w:color="auto"/>
                <w:bottom w:val="none" w:sz="0" w:space="0" w:color="auto"/>
                <w:right w:val="none" w:sz="0" w:space="0" w:color="auto"/>
              </w:divBdr>
              <w:divsChild>
                <w:div w:id="444274981">
                  <w:marLeft w:val="0"/>
                  <w:marRight w:val="2100"/>
                  <w:marTop w:val="0"/>
                  <w:marBottom w:val="0"/>
                  <w:divBdr>
                    <w:top w:val="none" w:sz="0" w:space="0" w:color="auto"/>
                    <w:left w:val="none" w:sz="0" w:space="0" w:color="auto"/>
                    <w:bottom w:val="none" w:sz="0" w:space="0" w:color="auto"/>
                    <w:right w:val="none" w:sz="0" w:space="0" w:color="auto"/>
                  </w:divBdr>
                  <w:divsChild>
                    <w:div w:id="167914022">
                      <w:marLeft w:val="0"/>
                      <w:marRight w:val="0"/>
                      <w:marTop w:val="0"/>
                      <w:marBottom w:val="360"/>
                      <w:divBdr>
                        <w:top w:val="none" w:sz="0" w:space="0" w:color="auto"/>
                        <w:left w:val="none" w:sz="0" w:space="0" w:color="auto"/>
                        <w:bottom w:val="none" w:sz="0" w:space="0" w:color="auto"/>
                        <w:right w:val="none" w:sz="0" w:space="0" w:color="auto"/>
                      </w:divBdr>
                    </w:div>
                  </w:divsChild>
                </w:div>
                <w:div w:id="581524004">
                  <w:marLeft w:val="0"/>
                  <w:marRight w:val="2100"/>
                  <w:marTop w:val="0"/>
                  <w:marBottom w:val="0"/>
                  <w:divBdr>
                    <w:top w:val="none" w:sz="0" w:space="0" w:color="auto"/>
                    <w:left w:val="none" w:sz="0" w:space="0" w:color="auto"/>
                    <w:bottom w:val="none" w:sz="0" w:space="0" w:color="auto"/>
                    <w:right w:val="none" w:sz="0" w:space="0" w:color="auto"/>
                  </w:divBdr>
                </w:div>
              </w:divsChild>
            </w:div>
            <w:div w:id="1534995608">
              <w:marLeft w:val="0"/>
              <w:marRight w:val="0"/>
              <w:marTop w:val="0"/>
              <w:marBottom w:val="30"/>
              <w:divBdr>
                <w:top w:val="none" w:sz="0" w:space="0" w:color="auto"/>
                <w:left w:val="none" w:sz="0" w:space="0" w:color="auto"/>
                <w:bottom w:val="none" w:sz="0" w:space="0" w:color="auto"/>
                <w:right w:val="none" w:sz="0" w:space="0" w:color="auto"/>
              </w:divBdr>
            </w:div>
            <w:div w:id="1413963065">
              <w:marLeft w:val="0"/>
              <w:marRight w:val="0"/>
              <w:marTop w:val="0"/>
              <w:marBottom w:val="30"/>
              <w:divBdr>
                <w:top w:val="none" w:sz="0" w:space="0" w:color="auto"/>
                <w:left w:val="none" w:sz="0" w:space="0" w:color="auto"/>
                <w:bottom w:val="none" w:sz="0" w:space="0" w:color="auto"/>
                <w:right w:val="none" w:sz="0" w:space="0" w:color="auto"/>
              </w:divBdr>
            </w:div>
            <w:div w:id="1952782811">
              <w:marLeft w:val="0"/>
              <w:marRight w:val="0"/>
              <w:marTop w:val="0"/>
              <w:marBottom w:val="30"/>
              <w:divBdr>
                <w:top w:val="none" w:sz="0" w:space="0" w:color="auto"/>
                <w:left w:val="none" w:sz="0" w:space="0" w:color="auto"/>
                <w:bottom w:val="none" w:sz="0" w:space="0" w:color="auto"/>
                <w:right w:val="none" w:sz="0" w:space="0" w:color="auto"/>
              </w:divBdr>
            </w:div>
            <w:div w:id="2079206394">
              <w:marLeft w:val="0"/>
              <w:marRight w:val="0"/>
              <w:marTop w:val="0"/>
              <w:marBottom w:val="30"/>
              <w:divBdr>
                <w:top w:val="none" w:sz="0" w:space="0" w:color="auto"/>
                <w:left w:val="none" w:sz="0" w:space="0" w:color="auto"/>
                <w:bottom w:val="none" w:sz="0" w:space="0" w:color="auto"/>
                <w:right w:val="none" w:sz="0" w:space="0" w:color="auto"/>
              </w:divBdr>
            </w:div>
            <w:div w:id="2123842228">
              <w:marLeft w:val="0"/>
              <w:marRight w:val="-2100"/>
              <w:marTop w:val="0"/>
              <w:marBottom w:val="0"/>
              <w:divBdr>
                <w:top w:val="none" w:sz="0" w:space="0" w:color="auto"/>
                <w:left w:val="none" w:sz="0" w:space="0" w:color="auto"/>
                <w:bottom w:val="none" w:sz="0" w:space="0" w:color="auto"/>
                <w:right w:val="none" w:sz="0" w:space="0" w:color="auto"/>
              </w:divBdr>
              <w:divsChild>
                <w:div w:id="636296334">
                  <w:marLeft w:val="0"/>
                  <w:marRight w:val="2100"/>
                  <w:marTop w:val="0"/>
                  <w:marBottom w:val="0"/>
                  <w:divBdr>
                    <w:top w:val="none" w:sz="0" w:space="0" w:color="auto"/>
                    <w:left w:val="none" w:sz="0" w:space="0" w:color="auto"/>
                    <w:bottom w:val="none" w:sz="0" w:space="0" w:color="auto"/>
                    <w:right w:val="none" w:sz="0" w:space="0" w:color="auto"/>
                  </w:divBdr>
                </w:div>
                <w:div w:id="112748715">
                  <w:marLeft w:val="0"/>
                  <w:marRight w:val="2100"/>
                  <w:marTop w:val="0"/>
                  <w:marBottom w:val="0"/>
                  <w:divBdr>
                    <w:top w:val="none" w:sz="0" w:space="0" w:color="auto"/>
                    <w:left w:val="none" w:sz="0" w:space="0" w:color="auto"/>
                    <w:bottom w:val="none" w:sz="0" w:space="0" w:color="auto"/>
                    <w:right w:val="none" w:sz="0" w:space="0" w:color="auto"/>
                  </w:divBdr>
                </w:div>
              </w:divsChild>
            </w:div>
            <w:div w:id="428936783">
              <w:marLeft w:val="0"/>
              <w:marRight w:val="0"/>
              <w:marTop w:val="0"/>
              <w:marBottom w:val="30"/>
              <w:divBdr>
                <w:top w:val="none" w:sz="0" w:space="0" w:color="auto"/>
                <w:left w:val="none" w:sz="0" w:space="0" w:color="auto"/>
                <w:bottom w:val="none" w:sz="0" w:space="0" w:color="auto"/>
                <w:right w:val="none" w:sz="0" w:space="0" w:color="auto"/>
              </w:divBdr>
            </w:div>
            <w:div w:id="51083512">
              <w:marLeft w:val="0"/>
              <w:marRight w:val="0"/>
              <w:marTop w:val="0"/>
              <w:marBottom w:val="30"/>
              <w:divBdr>
                <w:top w:val="none" w:sz="0" w:space="0" w:color="auto"/>
                <w:left w:val="none" w:sz="0" w:space="0" w:color="auto"/>
                <w:bottom w:val="none" w:sz="0" w:space="0" w:color="auto"/>
                <w:right w:val="none" w:sz="0" w:space="0" w:color="auto"/>
              </w:divBdr>
            </w:div>
            <w:div w:id="1695230319">
              <w:marLeft w:val="0"/>
              <w:marRight w:val="0"/>
              <w:marTop w:val="0"/>
              <w:marBottom w:val="30"/>
              <w:divBdr>
                <w:top w:val="none" w:sz="0" w:space="0" w:color="auto"/>
                <w:left w:val="none" w:sz="0" w:space="0" w:color="auto"/>
                <w:bottom w:val="none" w:sz="0" w:space="0" w:color="auto"/>
                <w:right w:val="none" w:sz="0" w:space="0" w:color="auto"/>
              </w:divBdr>
            </w:div>
            <w:div w:id="736511637">
              <w:marLeft w:val="0"/>
              <w:marRight w:val="0"/>
              <w:marTop w:val="0"/>
              <w:marBottom w:val="30"/>
              <w:divBdr>
                <w:top w:val="none" w:sz="0" w:space="0" w:color="auto"/>
                <w:left w:val="none" w:sz="0" w:space="0" w:color="auto"/>
                <w:bottom w:val="none" w:sz="0" w:space="0" w:color="auto"/>
                <w:right w:val="none" w:sz="0" w:space="0" w:color="auto"/>
              </w:divBdr>
            </w:div>
            <w:div w:id="1102988609">
              <w:marLeft w:val="0"/>
              <w:marRight w:val="-2100"/>
              <w:marTop w:val="0"/>
              <w:marBottom w:val="0"/>
              <w:divBdr>
                <w:top w:val="none" w:sz="0" w:space="0" w:color="auto"/>
                <w:left w:val="none" w:sz="0" w:space="0" w:color="auto"/>
                <w:bottom w:val="none" w:sz="0" w:space="0" w:color="auto"/>
                <w:right w:val="none" w:sz="0" w:space="0" w:color="auto"/>
              </w:divBdr>
              <w:divsChild>
                <w:div w:id="1059325042">
                  <w:marLeft w:val="0"/>
                  <w:marRight w:val="2100"/>
                  <w:marTop w:val="0"/>
                  <w:marBottom w:val="0"/>
                  <w:divBdr>
                    <w:top w:val="none" w:sz="0" w:space="0" w:color="auto"/>
                    <w:left w:val="none" w:sz="0" w:space="0" w:color="auto"/>
                    <w:bottom w:val="none" w:sz="0" w:space="0" w:color="auto"/>
                    <w:right w:val="none" w:sz="0" w:space="0" w:color="auto"/>
                  </w:divBdr>
                </w:div>
                <w:div w:id="46685102">
                  <w:marLeft w:val="0"/>
                  <w:marRight w:val="2100"/>
                  <w:marTop w:val="0"/>
                  <w:marBottom w:val="0"/>
                  <w:divBdr>
                    <w:top w:val="none" w:sz="0" w:space="0" w:color="auto"/>
                    <w:left w:val="none" w:sz="0" w:space="0" w:color="auto"/>
                    <w:bottom w:val="none" w:sz="0" w:space="0" w:color="auto"/>
                    <w:right w:val="none" w:sz="0" w:space="0" w:color="auto"/>
                  </w:divBdr>
                </w:div>
              </w:divsChild>
            </w:div>
            <w:div w:id="1581714310">
              <w:marLeft w:val="0"/>
              <w:marRight w:val="0"/>
              <w:marTop w:val="0"/>
              <w:marBottom w:val="30"/>
              <w:divBdr>
                <w:top w:val="none" w:sz="0" w:space="0" w:color="auto"/>
                <w:left w:val="none" w:sz="0" w:space="0" w:color="auto"/>
                <w:bottom w:val="none" w:sz="0" w:space="0" w:color="auto"/>
                <w:right w:val="none" w:sz="0" w:space="0" w:color="auto"/>
              </w:divBdr>
            </w:div>
            <w:div w:id="558128484">
              <w:marLeft w:val="0"/>
              <w:marRight w:val="0"/>
              <w:marTop w:val="0"/>
              <w:marBottom w:val="30"/>
              <w:divBdr>
                <w:top w:val="none" w:sz="0" w:space="0" w:color="auto"/>
                <w:left w:val="none" w:sz="0" w:space="0" w:color="auto"/>
                <w:bottom w:val="none" w:sz="0" w:space="0" w:color="auto"/>
                <w:right w:val="none" w:sz="0" w:space="0" w:color="auto"/>
              </w:divBdr>
            </w:div>
            <w:div w:id="1900241936">
              <w:marLeft w:val="0"/>
              <w:marRight w:val="0"/>
              <w:marTop w:val="0"/>
              <w:marBottom w:val="30"/>
              <w:divBdr>
                <w:top w:val="none" w:sz="0" w:space="0" w:color="auto"/>
                <w:left w:val="none" w:sz="0" w:space="0" w:color="auto"/>
                <w:bottom w:val="none" w:sz="0" w:space="0" w:color="auto"/>
                <w:right w:val="none" w:sz="0" w:space="0" w:color="auto"/>
              </w:divBdr>
            </w:div>
            <w:div w:id="1826777831">
              <w:marLeft w:val="0"/>
              <w:marRight w:val="0"/>
              <w:marTop w:val="0"/>
              <w:marBottom w:val="30"/>
              <w:divBdr>
                <w:top w:val="none" w:sz="0" w:space="0" w:color="auto"/>
                <w:left w:val="none" w:sz="0" w:space="0" w:color="auto"/>
                <w:bottom w:val="none" w:sz="0" w:space="0" w:color="auto"/>
                <w:right w:val="none" w:sz="0" w:space="0" w:color="auto"/>
              </w:divBdr>
            </w:div>
            <w:div w:id="267542476">
              <w:marLeft w:val="0"/>
              <w:marRight w:val="-2100"/>
              <w:marTop w:val="0"/>
              <w:marBottom w:val="0"/>
              <w:divBdr>
                <w:top w:val="none" w:sz="0" w:space="0" w:color="auto"/>
                <w:left w:val="none" w:sz="0" w:space="0" w:color="auto"/>
                <w:bottom w:val="none" w:sz="0" w:space="0" w:color="auto"/>
                <w:right w:val="none" w:sz="0" w:space="0" w:color="auto"/>
              </w:divBdr>
              <w:divsChild>
                <w:div w:id="1952735729">
                  <w:marLeft w:val="0"/>
                  <w:marRight w:val="2100"/>
                  <w:marTop w:val="0"/>
                  <w:marBottom w:val="0"/>
                  <w:divBdr>
                    <w:top w:val="none" w:sz="0" w:space="0" w:color="auto"/>
                    <w:left w:val="none" w:sz="0" w:space="0" w:color="auto"/>
                    <w:bottom w:val="none" w:sz="0" w:space="0" w:color="auto"/>
                    <w:right w:val="none" w:sz="0" w:space="0" w:color="auto"/>
                  </w:divBdr>
                  <w:divsChild>
                    <w:div w:id="1342854319">
                      <w:marLeft w:val="0"/>
                      <w:marRight w:val="0"/>
                      <w:marTop w:val="0"/>
                      <w:marBottom w:val="360"/>
                      <w:divBdr>
                        <w:top w:val="none" w:sz="0" w:space="0" w:color="auto"/>
                        <w:left w:val="none" w:sz="0" w:space="0" w:color="auto"/>
                        <w:bottom w:val="none" w:sz="0" w:space="0" w:color="auto"/>
                        <w:right w:val="none" w:sz="0" w:space="0" w:color="auto"/>
                      </w:divBdr>
                    </w:div>
                  </w:divsChild>
                </w:div>
                <w:div w:id="294795909">
                  <w:marLeft w:val="0"/>
                  <w:marRight w:val="2100"/>
                  <w:marTop w:val="0"/>
                  <w:marBottom w:val="0"/>
                  <w:divBdr>
                    <w:top w:val="none" w:sz="0" w:space="0" w:color="auto"/>
                    <w:left w:val="none" w:sz="0" w:space="0" w:color="auto"/>
                    <w:bottom w:val="none" w:sz="0" w:space="0" w:color="auto"/>
                    <w:right w:val="none" w:sz="0" w:space="0" w:color="auto"/>
                  </w:divBdr>
                </w:div>
              </w:divsChild>
            </w:div>
            <w:div w:id="1162431994">
              <w:marLeft w:val="0"/>
              <w:marRight w:val="0"/>
              <w:marTop w:val="0"/>
              <w:marBottom w:val="30"/>
              <w:divBdr>
                <w:top w:val="none" w:sz="0" w:space="0" w:color="auto"/>
                <w:left w:val="none" w:sz="0" w:space="0" w:color="auto"/>
                <w:bottom w:val="none" w:sz="0" w:space="0" w:color="auto"/>
                <w:right w:val="none" w:sz="0" w:space="0" w:color="auto"/>
              </w:divBdr>
            </w:div>
            <w:div w:id="2141460674">
              <w:marLeft w:val="0"/>
              <w:marRight w:val="0"/>
              <w:marTop w:val="0"/>
              <w:marBottom w:val="30"/>
              <w:divBdr>
                <w:top w:val="none" w:sz="0" w:space="0" w:color="auto"/>
                <w:left w:val="none" w:sz="0" w:space="0" w:color="auto"/>
                <w:bottom w:val="none" w:sz="0" w:space="0" w:color="auto"/>
                <w:right w:val="none" w:sz="0" w:space="0" w:color="auto"/>
              </w:divBdr>
            </w:div>
            <w:div w:id="1638486606">
              <w:marLeft w:val="0"/>
              <w:marRight w:val="0"/>
              <w:marTop w:val="0"/>
              <w:marBottom w:val="30"/>
              <w:divBdr>
                <w:top w:val="none" w:sz="0" w:space="0" w:color="auto"/>
                <w:left w:val="none" w:sz="0" w:space="0" w:color="auto"/>
                <w:bottom w:val="none" w:sz="0" w:space="0" w:color="auto"/>
                <w:right w:val="none" w:sz="0" w:space="0" w:color="auto"/>
              </w:divBdr>
            </w:div>
            <w:div w:id="744841254">
              <w:marLeft w:val="0"/>
              <w:marRight w:val="0"/>
              <w:marTop w:val="0"/>
              <w:marBottom w:val="30"/>
              <w:divBdr>
                <w:top w:val="none" w:sz="0" w:space="0" w:color="auto"/>
                <w:left w:val="none" w:sz="0" w:space="0" w:color="auto"/>
                <w:bottom w:val="none" w:sz="0" w:space="0" w:color="auto"/>
                <w:right w:val="none" w:sz="0" w:space="0" w:color="auto"/>
              </w:divBdr>
            </w:div>
            <w:div w:id="1451632500">
              <w:marLeft w:val="0"/>
              <w:marRight w:val="-2100"/>
              <w:marTop w:val="0"/>
              <w:marBottom w:val="0"/>
              <w:divBdr>
                <w:top w:val="none" w:sz="0" w:space="0" w:color="auto"/>
                <w:left w:val="none" w:sz="0" w:space="0" w:color="auto"/>
                <w:bottom w:val="none" w:sz="0" w:space="0" w:color="auto"/>
                <w:right w:val="none" w:sz="0" w:space="0" w:color="auto"/>
              </w:divBdr>
              <w:divsChild>
                <w:div w:id="1088771699">
                  <w:marLeft w:val="0"/>
                  <w:marRight w:val="2100"/>
                  <w:marTop w:val="0"/>
                  <w:marBottom w:val="0"/>
                  <w:divBdr>
                    <w:top w:val="none" w:sz="0" w:space="0" w:color="auto"/>
                    <w:left w:val="none" w:sz="0" w:space="0" w:color="auto"/>
                    <w:bottom w:val="none" w:sz="0" w:space="0" w:color="auto"/>
                    <w:right w:val="none" w:sz="0" w:space="0" w:color="auto"/>
                  </w:divBdr>
                </w:div>
                <w:div w:id="258027122">
                  <w:marLeft w:val="0"/>
                  <w:marRight w:val="2100"/>
                  <w:marTop w:val="0"/>
                  <w:marBottom w:val="0"/>
                  <w:divBdr>
                    <w:top w:val="none" w:sz="0" w:space="0" w:color="auto"/>
                    <w:left w:val="none" w:sz="0" w:space="0" w:color="auto"/>
                    <w:bottom w:val="none" w:sz="0" w:space="0" w:color="auto"/>
                    <w:right w:val="none" w:sz="0" w:space="0" w:color="auto"/>
                  </w:divBdr>
                </w:div>
              </w:divsChild>
            </w:div>
            <w:div w:id="547375642">
              <w:marLeft w:val="0"/>
              <w:marRight w:val="0"/>
              <w:marTop w:val="0"/>
              <w:marBottom w:val="30"/>
              <w:divBdr>
                <w:top w:val="none" w:sz="0" w:space="0" w:color="auto"/>
                <w:left w:val="none" w:sz="0" w:space="0" w:color="auto"/>
                <w:bottom w:val="none" w:sz="0" w:space="0" w:color="auto"/>
                <w:right w:val="none" w:sz="0" w:space="0" w:color="auto"/>
              </w:divBdr>
            </w:div>
            <w:div w:id="1442844286">
              <w:marLeft w:val="0"/>
              <w:marRight w:val="0"/>
              <w:marTop w:val="0"/>
              <w:marBottom w:val="30"/>
              <w:divBdr>
                <w:top w:val="none" w:sz="0" w:space="0" w:color="auto"/>
                <w:left w:val="none" w:sz="0" w:space="0" w:color="auto"/>
                <w:bottom w:val="none" w:sz="0" w:space="0" w:color="auto"/>
                <w:right w:val="none" w:sz="0" w:space="0" w:color="auto"/>
              </w:divBdr>
            </w:div>
            <w:div w:id="1927499729">
              <w:marLeft w:val="0"/>
              <w:marRight w:val="0"/>
              <w:marTop w:val="0"/>
              <w:marBottom w:val="30"/>
              <w:divBdr>
                <w:top w:val="none" w:sz="0" w:space="0" w:color="auto"/>
                <w:left w:val="none" w:sz="0" w:space="0" w:color="auto"/>
                <w:bottom w:val="none" w:sz="0" w:space="0" w:color="auto"/>
                <w:right w:val="none" w:sz="0" w:space="0" w:color="auto"/>
              </w:divBdr>
            </w:div>
            <w:div w:id="818113038">
              <w:marLeft w:val="0"/>
              <w:marRight w:val="0"/>
              <w:marTop w:val="0"/>
              <w:marBottom w:val="30"/>
              <w:divBdr>
                <w:top w:val="none" w:sz="0" w:space="0" w:color="auto"/>
                <w:left w:val="none" w:sz="0" w:space="0" w:color="auto"/>
                <w:bottom w:val="none" w:sz="0" w:space="0" w:color="auto"/>
                <w:right w:val="none" w:sz="0" w:space="0" w:color="auto"/>
              </w:divBdr>
            </w:div>
            <w:div w:id="1390034336">
              <w:marLeft w:val="0"/>
              <w:marRight w:val="-2100"/>
              <w:marTop w:val="0"/>
              <w:marBottom w:val="0"/>
              <w:divBdr>
                <w:top w:val="none" w:sz="0" w:space="0" w:color="auto"/>
                <w:left w:val="none" w:sz="0" w:space="0" w:color="auto"/>
                <w:bottom w:val="none" w:sz="0" w:space="0" w:color="auto"/>
                <w:right w:val="none" w:sz="0" w:space="0" w:color="auto"/>
              </w:divBdr>
              <w:divsChild>
                <w:div w:id="1097404726">
                  <w:marLeft w:val="0"/>
                  <w:marRight w:val="2100"/>
                  <w:marTop w:val="0"/>
                  <w:marBottom w:val="0"/>
                  <w:divBdr>
                    <w:top w:val="none" w:sz="0" w:space="0" w:color="auto"/>
                    <w:left w:val="none" w:sz="0" w:space="0" w:color="auto"/>
                    <w:bottom w:val="none" w:sz="0" w:space="0" w:color="auto"/>
                    <w:right w:val="none" w:sz="0" w:space="0" w:color="auto"/>
                  </w:divBdr>
                </w:div>
                <w:div w:id="1498769798">
                  <w:marLeft w:val="0"/>
                  <w:marRight w:val="2100"/>
                  <w:marTop w:val="0"/>
                  <w:marBottom w:val="0"/>
                  <w:divBdr>
                    <w:top w:val="none" w:sz="0" w:space="0" w:color="auto"/>
                    <w:left w:val="none" w:sz="0" w:space="0" w:color="auto"/>
                    <w:bottom w:val="none" w:sz="0" w:space="0" w:color="auto"/>
                    <w:right w:val="none" w:sz="0" w:space="0" w:color="auto"/>
                  </w:divBdr>
                </w:div>
              </w:divsChild>
            </w:div>
            <w:div w:id="1059204039">
              <w:marLeft w:val="0"/>
              <w:marRight w:val="0"/>
              <w:marTop w:val="0"/>
              <w:marBottom w:val="30"/>
              <w:divBdr>
                <w:top w:val="none" w:sz="0" w:space="0" w:color="auto"/>
                <w:left w:val="none" w:sz="0" w:space="0" w:color="auto"/>
                <w:bottom w:val="none" w:sz="0" w:space="0" w:color="auto"/>
                <w:right w:val="none" w:sz="0" w:space="0" w:color="auto"/>
              </w:divBdr>
            </w:div>
            <w:div w:id="67004269">
              <w:marLeft w:val="0"/>
              <w:marRight w:val="0"/>
              <w:marTop w:val="0"/>
              <w:marBottom w:val="30"/>
              <w:divBdr>
                <w:top w:val="none" w:sz="0" w:space="0" w:color="auto"/>
                <w:left w:val="none" w:sz="0" w:space="0" w:color="auto"/>
                <w:bottom w:val="none" w:sz="0" w:space="0" w:color="auto"/>
                <w:right w:val="none" w:sz="0" w:space="0" w:color="auto"/>
              </w:divBdr>
            </w:div>
            <w:div w:id="1454976343">
              <w:marLeft w:val="0"/>
              <w:marRight w:val="0"/>
              <w:marTop w:val="0"/>
              <w:marBottom w:val="30"/>
              <w:divBdr>
                <w:top w:val="none" w:sz="0" w:space="0" w:color="auto"/>
                <w:left w:val="none" w:sz="0" w:space="0" w:color="auto"/>
                <w:bottom w:val="none" w:sz="0" w:space="0" w:color="auto"/>
                <w:right w:val="none" w:sz="0" w:space="0" w:color="auto"/>
              </w:divBdr>
            </w:div>
            <w:div w:id="1705597100">
              <w:marLeft w:val="0"/>
              <w:marRight w:val="0"/>
              <w:marTop w:val="0"/>
              <w:marBottom w:val="30"/>
              <w:divBdr>
                <w:top w:val="none" w:sz="0" w:space="0" w:color="auto"/>
                <w:left w:val="none" w:sz="0" w:space="0" w:color="auto"/>
                <w:bottom w:val="none" w:sz="0" w:space="0" w:color="auto"/>
                <w:right w:val="none" w:sz="0" w:space="0" w:color="auto"/>
              </w:divBdr>
            </w:div>
          </w:divsChild>
        </w:div>
        <w:div w:id="1691181436">
          <w:marLeft w:val="0"/>
          <w:marRight w:val="0"/>
          <w:marTop w:val="0"/>
          <w:marBottom w:val="0"/>
          <w:divBdr>
            <w:top w:val="none" w:sz="0" w:space="0" w:color="auto"/>
            <w:left w:val="none" w:sz="0" w:space="0" w:color="auto"/>
            <w:bottom w:val="none" w:sz="0" w:space="0" w:color="auto"/>
            <w:right w:val="none" w:sz="0" w:space="0" w:color="auto"/>
          </w:divBdr>
          <w:divsChild>
            <w:div w:id="55472130">
              <w:marLeft w:val="0"/>
              <w:marRight w:val="-2100"/>
              <w:marTop w:val="0"/>
              <w:marBottom w:val="0"/>
              <w:divBdr>
                <w:top w:val="none" w:sz="0" w:space="0" w:color="auto"/>
                <w:left w:val="none" w:sz="0" w:space="0" w:color="auto"/>
                <w:bottom w:val="none" w:sz="0" w:space="0" w:color="auto"/>
                <w:right w:val="none" w:sz="0" w:space="0" w:color="auto"/>
              </w:divBdr>
              <w:divsChild>
                <w:div w:id="1019047113">
                  <w:marLeft w:val="0"/>
                  <w:marRight w:val="2100"/>
                  <w:marTop w:val="0"/>
                  <w:marBottom w:val="0"/>
                  <w:divBdr>
                    <w:top w:val="none" w:sz="0" w:space="0" w:color="auto"/>
                    <w:left w:val="none" w:sz="0" w:space="0" w:color="auto"/>
                    <w:bottom w:val="none" w:sz="0" w:space="0" w:color="auto"/>
                    <w:right w:val="none" w:sz="0" w:space="0" w:color="auto"/>
                  </w:divBdr>
                </w:div>
                <w:div w:id="1942954930">
                  <w:marLeft w:val="0"/>
                  <w:marRight w:val="2100"/>
                  <w:marTop w:val="0"/>
                  <w:marBottom w:val="0"/>
                  <w:divBdr>
                    <w:top w:val="none" w:sz="0" w:space="0" w:color="auto"/>
                    <w:left w:val="none" w:sz="0" w:space="0" w:color="auto"/>
                    <w:bottom w:val="none" w:sz="0" w:space="0" w:color="auto"/>
                    <w:right w:val="none" w:sz="0" w:space="0" w:color="auto"/>
                  </w:divBdr>
                </w:div>
              </w:divsChild>
            </w:div>
            <w:div w:id="692070113">
              <w:marLeft w:val="0"/>
              <w:marRight w:val="0"/>
              <w:marTop w:val="0"/>
              <w:marBottom w:val="30"/>
              <w:divBdr>
                <w:top w:val="none" w:sz="0" w:space="0" w:color="auto"/>
                <w:left w:val="none" w:sz="0" w:space="0" w:color="auto"/>
                <w:bottom w:val="none" w:sz="0" w:space="0" w:color="auto"/>
                <w:right w:val="none" w:sz="0" w:space="0" w:color="auto"/>
              </w:divBdr>
            </w:div>
            <w:div w:id="469521983">
              <w:marLeft w:val="0"/>
              <w:marRight w:val="0"/>
              <w:marTop w:val="0"/>
              <w:marBottom w:val="30"/>
              <w:divBdr>
                <w:top w:val="none" w:sz="0" w:space="0" w:color="auto"/>
                <w:left w:val="none" w:sz="0" w:space="0" w:color="auto"/>
                <w:bottom w:val="none" w:sz="0" w:space="0" w:color="auto"/>
                <w:right w:val="none" w:sz="0" w:space="0" w:color="auto"/>
              </w:divBdr>
            </w:div>
            <w:div w:id="1165322397">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771512354">
      <w:bodyDiv w:val="1"/>
      <w:marLeft w:val="0"/>
      <w:marRight w:val="0"/>
      <w:marTop w:val="0"/>
      <w:marBottom w:val="0"/>
      <w:divBdr>
        <w:top w:val="none" w:sz="0" w:space="0" w:color="auto"/>
        <w:left w:val="none" w:sz="0" w:space="0" w:color="auto"/>
        <w:bottom w:val="none" w:sz="0" w:space="0" w:color="auto"/>
        <w:right w:val="none" w:sz="0" w:space="0" w:color="auto"/>
      </w:divBdr>
    </w:div>
    <w:div w:id="1775786640">
      <w:bodyDiv w:val="1"/>
      <w:marLeft w:val="0"/>
      <w:marRight w:val="0"/>
      <w:marTop w:val="0"/>
      <w:marBottom w:val="0"/>
      <w:divBdr>
        <w:top w:val="none" w:sz="0" w:space="0" w:color="auto"/>
        <w:left w:val="none" w:sz="0" w:space="0" w:color="auto"/>
        <w:bottom w:val="none" w:sz="0" w:space="0" w:color="auto"/>
        <w:right w:val="none" w:sz="0" w:space="0" w:color="auto"/>
      </w:divBdr>
    </w:div>
    <w:div w:id="1777021216">
      <w:bodyDiv w:val="1"/>
      <w:marLeft w:val="0"/>
      <w:marRight w:val="0"/>
      <w:marTop w:val="0"/>
      <w:marBottom w:val="0"/>
      <w:divBdr>
        <w:top w:val="none" w:sz="0" w:space="0" w:color="auto"/>
        <w:left w:val="none" w:sz="0" w:space="0" w:color="auto"/>
        <w:bottom w:val="none" w:sz="0" w:space="0" w:color="auto"/>
        <w:right w:val="none" w:sz="0" w:space="0" w:color="auto"/>
      </w:divBdr>
    </w:div>
    <w:div w:id="1783574641">
      <w:bodyDiv w:val="1"/>
      <w:marLeft w:val="0"/>
      <w:marRight w:val="0"/>
      <w:marTop w:val="0"/>
      <w:marBottom w:val="0"/>
      <w:divBdr>
        <w:top w:val="none" w:sz="0" w:space="0" w:color="auto"/>
        <w:left w:val="none" w:sz="0" w:space="0" w:color="auto"/>
        <w:bottom w:val="none" w:sz="0" w:space="0" w:color="auto"/>
        <w:right w:val="none" w:sz="0" w:space="0" w:color="auto"/>
      </w:divBdr>
    </w:div>
    <w:div w:id="1790051080">
      <w:bodyDiv w:val="1"/>
      <w:marLeft w:val="0"/>
      <w:marRight w:val="0"/>
      <w:marTop w:val="0"/>
      <w:marBottom w:val="0"/>
      <w:divBdr>
        <w:top w:val="none" w:sz="0" w:space="0" w:color="auto"/>
        <w:left w:val="none" w:sz="0" w:space="0" w:color="auto"/>
        <w:bottom w:val="none" w:sz="0" w:space="0" w:color="auto"/>
        <w:right w:val="none" w:sz="0" w:space="0" w:color="auto"/>
      </w:divBdr>
    </w:div>
    <w:div w:id="1791433719">
      <w:bodyDiv w:val="1"/>
      <w:marLeft w:val="0"/>
      <w:marRight w:val="0"/>
      <w:marTop w:val="0"/>
      <w:marBottom w:val="0"/>
      <w:divBdr>
        <w:top w:val="none" w:sz="0" w:space="0" w:color="auto"/>
        <w:left w:val="none" w:sz="0" w:space="0" w:color="auto"/>
        <w:bottom w:val="none" w:sz="0" w:space="0" w:color="auto"/>
        <w:right w:val="none" w:sz="0" w:space="0" w:color="auto"/>
      </w:divBdr>
    </w:div>
    <w:div w:id="1792167461">
      <w:bodyDiv w:val="1"/>
      <w:marLeft w:val="0"/>
      <w:marRight w:val="0"/>
      <w:marTop w:val="0"/>
      <w:marBottom w:val="0"/>
      <w:divBdr>
        <w:top w:val="none" w:sz="0" w:space="0" w:color="auto"/>
        <w:left w:val="none" w:sz="0" w:space="0" w:color="auto"/>
        <w:bottom w:val="none" w:sz="0" w:space="0" w:color="auto"/>
        <w:right w:val="none" w:sz="0" w:space="0" w:color="auto"/>
      </w:divBdr>
    </w:div>
    <w:div w:id="1803108565">
      <w:bodyDiv w:val="1"/>
      <w:marLeft w:val="0"/>
      <w:marRight w:val="0"/>
      <w:marTop w:val="0"/>
      <w:marBottom w:val="0"/>
      <w:divBdr>
        <w:top w:val="none" w:sz="0" w:space="0" w:color="auto"/>
        <w:left w:val="none" w:sz="0" w:space="0" w:color="auto"/>
        <w:bottom w:val="none" w:sz="0" w:space="0" w:color="auto"/>
        <w:right w:val="none" w:sz="0" w:space="0" w:color="auto"/>
      </w:divBdr>
      <w:divsChild>
        <w:div w:id="1955598340">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805342378">
      <w:bodyDiv w:val="1"/>
      <w:marLeft w:val="0"/>
      <w:marRight w:val="0"/>
      <w:marTop w:val="0"/>
      <w:marBottom w:val="0"/>
      <w:divBdr>
        <w:top w:val="none" w:sz="0" w:space="0" w:color="auto"/>
        <w:left w:val="none" w:sz="0" w:space="0" w:color="auto"/>
        <w:bottom w:val="none" w:sz="0" w:space="0" w:color="auto"/>
        <w:right w:val="none" w:sz="0" w:space="0" w:color="auto"/>
      </w:divBdr>
    </w:div>
    <w:div w:id="1828085834">
      <w:bodyDiv w:val="1"/>
      <w:marLeft w:val="0"/>
      <w:marRight w:val="0"/>
      <w:marTop w:val="0"/>
      <w:marBottom w:val="0"/>
      <w:divBdr>
        <w:top w:val="none" w:sz="0" w:space="0" w:color="auto"/>
        <w:left w:val="none" w:sz="0" w:space="0" w:color="auto"/>
        <w:bottom w:val="none" w:sz="0" w:space="0" w:color="auto"/>
        <w:right w:val="none" w:sz="0" w:space="0" w:color="auto"/>
      </w:divBdr>
    </w:div>
    <w:div w:id="1830321439">
      <w:bodyDiv w:val="1"/>
      <w:marLeft w:val="0"/>
      <w:marRight w:val="0"/>
      <w:marTop w:val="0"/>
      <w:marBottom w:val="0"/>
      <w:divBdr>
        <w:top w:val="none" w:sz="0" w:space="0" w:color="auto"/>
        <w:left w:val="none" w:sz="0" w:space="0" w:color="auto"/>
        <w:bottom w:val="none" w:sz="0" w:space="0" w:color="auto"/>
        <w:right w:val="none" w:sz="0" w:space="0" w:color="auto"/>
      </w:divBdr>
    </w:div>
    <w:div w:id="1831753908">
      <w:bodyDiv w:val="1"/>
      <w:marLeft w:val="0"/>
      <w:marRight w:val="0"/>
      <w:marTop w:val="0"/>
      <w:marBottom w:val="0"/>
      <w:divBdr>
        <w:top w:val="none" w:sz="0" w:space="0" w:color="auto"/>
        <w:left w:val="none" w:sz="0" w:space="0" w:color="auto"/>
        <w:bottom w:val="none" w:sz="0" w:space="0" w:color="auto"/>
        <w:right w:val="none" w:sz="0" w:space="0" w:color="auto"/>
      </w:divBdr>
    </w:div>
    <w:div w:id="1848590195">
      <w:bodyDiv w:val="1"/>
      <w:marLeft w:val="0"/>
      <w:marRight w:val="0"/>
      <w:marTop w:val="0"/>
      <w:marBottom w:val="0"/>
      <w:divBdr>
        <w:top w:val="none" w:sz="0" w:space="0" w:color="auto"/>
        <w:left w:val="none" w:sz="0" w:space="0" w:color="auto"/>
        <w:bottom w:val="none" w:sz="0" w:space="0" w:color="auto"/>
        <w:right w:val="none" w:sz="0" w:space="0" w:color="auto"/>
      </w:divBdr>
    </w:div>
    <w:div w:id="1874146038">
      <w:bodyDiv w:val="1"/>
      <w:marLeft w:val="0"/>
      <w:marRight w:val="0"/>
      <w:marTop w:val="0"/>
      <w:marBottom w:val="0"/>
      <w:divBdr>
        <w:top w:val="none" w:sz="0" w:space="0" w:color="auto"/>
        <w:left w:val="none" w:sz="0" w:space="0" w:color="auto"/>
        <w:bottom w:val="none" w:sz="0" w:space="0" w:color="auto"/>
        <w:right w:val="none" w:sz="0" w:space="0" w:color="auto"/>
      </w:divBdr>
    </w:div>
    <w:div w:id="1876967845">
      <w:bodyDiv w:val="1"/>
      <w:marLeft w:val="0"/>
      <w:marRight w:val="0"/>
      <w:marTop w:val="0"/>
      <w:marBottom w:val="0"/>
      <w:divBdr>
        <w:top w:val="none" w:sz="0" w:space="0" w:color="auto"/>
        <w:left w:val="none" w:sz="0" w:space="0" w:color="auto"/>
        <w:bottom w:val="none" w:sz="0" w:space="0" w:color="auto"/>
        <w:right w:val="none" w:sz="0" w:space="0" w:color="auto"/>
      </w:divBdr>
    </w:div>
    <w:div w:id="1881361544">
      <w:bodyDiv w:val="1"/>
      <w:marLeft w:val="0"/>
      <w:marRight w:val="0"/>
      <w:marTop w:val="0"/>
      <w:marBottom w:val="0"/>
      <w:divBdr>
        <w:top w:val="none" w:sz="0" w:space="0" w:color="auto"/>
        <w:left w:val="none" w:sz="0" w:space="0" w:color="auto"/>
        <w:bottom w:val="none" w:sz="0" w:space="0" w:color="auto"/>
        <w:right w:val="none" w:sz="0" w:space="0" w:color="auto"/>
      </w:divBdr>
    </w:div>
    <w:div w:id="1885604064">
      <w:bodyDiv w:val="1"/>
      <w:marLeft w:val="0"/>
      <w:marRight w:val="0"/>
      <w:marTop w:val="0"/>
      <w:marBottom w:val="0"/>
      <w:divBdr>
        <w:top w:val="none" w:sz="0" w:space="0" w:color="auto"/>
        <w:left w:val="none" w:sz="0" w:space="0" w:color="auto"/>
        <w:bottom w:val="none" w:sz="0" w:space="0" w:color="auto"/>
        <w:right w:val="none" w:sz="0" w:space="0" w:color="auto"/>
      </w:divBdr>
    </w:div>
    <w:div w:id="1889762916">
      <w:bodyDiv w:val="1"/>
      <w:marLeft w:val="0"/>
      <w:marRight w:val="0"/>
      <w:marTop w:val="0"/>
      <w:marBottom w:val="0"/>
      <w:divBdr>
        <w:top w:val="none" w:sz="0" w:space="0" w:color="auto"/>
        <w:left w:val="none" w:sz="0" w:space="0" w:color="auto"/>
        <w:bottom w:val="none" w:sz="0" w:space="0" w:color="auto"/>
        <w:right w:val="none" w:sz="0" w:space="0" w:color="auto"/>
      </w:divBdr>
    </w:div>
    <w:div w:id="1906068806">
      <w:bodyDiv w:val="1"/>
      <w:marLeft w:val="0"/>
      <w:marRight w:val="0"/>
      <w:marTop w:val="0"/>
      <w:marBottom w:val="0"/>
      <w:divBdr>
        <w:top w:val="none" w:sz="0" w:space="0" w:color="auto"/>
        <w:left w:val="none" w:sz="0" w:space="0" w:color="auto"/>
        <w:bottom w:val="none" w:sz="0" w:space="0" w:color="auto"/>
        <w:right w:val="none" w:sz="0" w:space="0" w:color="auto"/>
      </w:divBdr>
      <w:divsChild>
        <w:div w:id="1428186758">
          <w:marLeft w:val="0"/>
          <w:marRight w:val="0"/>
          <w:marTop w:val="150"/>
          <w:marBottom w:val="270"/>
          <w:divBdr>
            <w:top w:val="none" w:sz="0" w:space="0" w:color="auto"/>
            <w:left w:val="none" w:sz="0" w:space="0" w:color="auto"/>
            <w:bottom w:val="none" w:sz="0" w:space="0" w:color="auto"/>
            <w:right w:val="none" w:sz="0" w:space="0" w:color="auto"/>
          </w:divBdr>
        </w:div>
        <w:div w:id="959264014">
          <w:marLeft w:val="0"/>
          <w:marRight w:val="0"/>
          <w:marTop w:val="150"/>
          <w:marBottom w:val="270"/>
          <w:divBdr>
            <w:top w:val="none" w:sz="0" w:space="0" w:color="auto"/>
            <w:left w:val="none" w:sz="0" w:space="0" w:color="auto"/>
            <w:bottom w:val="none" w:sz="0" w:space="0" w:color="auto"/>
            <w:right w:val="none" w:sz="0" w:space="0" w:color="auto"/>
          </w:divBdr>
        </w:div>
        <w:div w:id="1890650736">
          <w:marLeft w:val="0"/>
          <w:marRight w:val="0"/>
          <w:marTop w:val="150"/>
          <w:marBottom w:val="270"/>
          <w:divBdr>
            <w:top w:val="none" w:sz="0" w:space="0" w:color="auto"/>
            <w:left w:val="none" w:sz="0" w:space="0" w:color="auto"/>
            <w:bottom w:val="none" w:sz="0" w:space="0" w:color="auto"/>
            <w:right w:val="none" w:sz="0" w:space="0" w:color="auto"/>
          </w:divBdr>
        </w:div>
        <w:div w:id="1907260484">
          <w:marLeft w:val="0"/>
          <w:marRight w:val="0"/>
          <w:marTop w:val="150"/>
          <w:marBottom w:val="270"/>
          <w:divBdr>
            <w:top w:val="none" w:sz="0" w:space="0" w:color="auto"/>
            <w:left w:val="none" w:sz="0" w:space="0" w:color="auto"/>
            <w:bottom w:val="none" w:sz="0" w:space="0" w:color="auto"/>
            <w:right w:val="none" w:sz="0" w:space="0" w:color="auto"/>
          </w:divBdr>
        </w:div>
      </w:divsChild>
    </w:div>
    <w:div w:id="1917935557">
      <w:bodyDiv w:val="1"/>
      <w:marLeft w:val="0"/>
      <w:marRight w:val="0"/>
      <w:marTop w:val="0"/>
      <w:marBottom w:val="0"/>
      <w:divBdr>
        <w:top w:val="none" w:sz="0" w:space="0" w:color="auto"/>
        <w:left w:val="none" w:sz="0" w:space="0" w:color="auto"/>
        <w:bottom w:val="none" w:sz="0" w:space="0" w:color="auto"/>
        <w:right w:val="none" w:sz="0" w:space="0" w:color="auto"/>
      </w:divBdr>
    </w:div>
    <w:div w:id="1918830426">
      <w:bodyDiv w:val="1"/>
      <w:marLeft w:val="0"/>
      <w:marRight w:val="0"/>
      <w:marTop w:val="0"/>
      <w:marBottom w:val="0"/>
      <w:divBdr>
        <w:top w:val="none" w:sz="0" w:space="0" w:color="auto"/>
        <w:left w:val="none" w:sz="0" w:space="0" w:color="auto"/>
        <w:bottom w:val="none" w:sz="0" w:space="0" w:color="auto"/>
        <w:right w:val="none" w:sz="0" w:space="0" w:color="auto"/>
      </w:divBdr>
    </w:div>
    <w:div w:id="1924878411">
      <w:bodyDiv w:val="1"/>
      <w:marLeft w:val="0"/>
      <w:marRight w:val="0"/>
      <w:marTop w:val="0"/>
      <w:marBottom w:val="0"/>
      <w:divBdr>
        <w:top w:val="none" w:sz="0" w:space="0" w:color="auto"/>
        <w:left w:val="none" w:sz="0" w:space="0" w:color="auto"/>
        <w:bottom w:val="none" w:sz="0" w:space="0" w:color="auto"/>
        <w:right w:val="none" w:sz="0" w:space="0" w:color="auto"/>
      </w:divBdr>
      <w:divsChild>
        <w:div w:id="516163479">
          <w:marLeft w:val="0"/>
          <w:marRight w:val="0"/>
          <w:marTop w:val="150"/>
          <w:marBottom w:val="270"/>
          <w:divBdr>
            <w:top w:val="none" w:sz="0" w:space="0" w:color="auto"/>
            <w:left w:val="none" w:sz="0" w:space="0" w:color="auto"/>
            <w:bottom w:val="none" w:sz="0" w:space="0" w:color="auto"/>
            <w:right w:val="none" w:sz="0" w:space="0" w:color="auto"/>
          </w:divBdr>
        </w:div>
        <w:div w:id="763526399">
          <w:marLeft w:val="0"/>
          <w:marRight w:val="0"/>
          <w:marTop w:val="150"/>
          <w:marBottom w:val="270"/>
          <w:divBdr>
            <w:top w:val="none" w:sz="0" w:space="0" w:color="auto"/>
            <w:left w:val="none" w:sz="0" w:space="0" w:color="auto"/>
            <w:bottom w:val="none" w:sz="0" w:space="0" w:color="auto"/>
            <w:right w:val="none" w:sz="0" w:space="0" w:color="auto"/>
          </w:divBdr>
        </w:div>
        <w:div w:id="14578003">
          <w:marLeft w:val="0"/>
          <w:marRight w:val="0"/>
          <w:marTop w:val="150"/>
          <w:marBottom w:val="270"/>
          <w:divBdr>
            <w:top w:val="none" w:sz="0" w:space="0" w:color="auto"/>
            <w:left w:val="none" w:sz="0" w:space="0" w:color="auto"/>
            <w:bottom w:val="none" w:sz="0" w:space="0" w:color="auto"/>
            <w:right w:val="none" w:sz="0" w:space="0" w:color="auto"/>
          </w:divBdr>
        </w:div>
        <w:div w:id="892741658">
          <w:marLeft w:val="0"/>
          <w:marRight w:val="0"/>
          <w:marTop w:val="150"/>
          <w:marBottom w:val="270"/>
          <w:divBdr>
            <w:top w:val="none" w:sz="0" w:space="0" w:color="auto"/>
            <w:left w:val="none" w:sz="0" w:space="0" w:color="auto"/>
            <w:bottom w:val="none" w:sz="0" w:space="0" w:color="auto"/>
            <w:right w:val="none" w:sz="0" w:space="0" w:color="auto"/>
          </w:divBdr>
        </w:div>
      </w:divsChild>
    </w:div>
    <w:div w:id="1932425607">
      <w:bodyDiv w:val="1"/>
      <w:marLeft w:val="0"/>
      <w:marRight w:val="0"/>
      <w:marTop w:val="0"/>
      <w:marBottom w:val="0"/>
      <w:divBdr>
        <w:top w:val="none" w:sz="0" w:space="0" w:color="auto"/>
        <w:left w:val="none" w:sz="0" w:space="0" w:color="auto"/>
        <w:bottom w:val="none" w:sz="0" w:space="0" w:color="auto"/>
        <w:right w:val="none" w:sz="0" w:space="0" w:color="auto"/>
      </w:divBdr>
      <w:divsChild>
        <w:div w:id="1197617586">
          <w:marLeft w:val="0"/>
          <w:marRight w:val="0"/>
          <w:marTop w:val="0"/>
          <w:marBottom w:val="120"/>
          <w:divBdr>
            <w:top w:val="none" w:sz="0" w:space="0" w:color="auto"/>
            <w:left w:val="none" w:sz="0" w:space="0" w:color="auto"/>
            <w:bottom w:val="none" w:sz="0" w:space="0" w:color="auto"/>
            <w:right w:val="none" w:sz="0" w:space="0" w:color="auto"/>
          </w:divBdr>
        </w:div>
        <w:div w:id="843669270">
          <w:marLeft w:val="0"/>
          <w:marRight w:val="0"/>
          <w:marTop w:val="0"/>
          <w:marBottom w:val="0"/>
          <w:divBdr>
            <w:top w:val="none" w:sz="0" w:space="0" w:color="auto"/>
            <w:left w:val="none" w:sz="0" w:space="0" w:color="auto"/>
            <w:bottom w:val="none" w:sz="0" w:space="0" w:color="auto"/>
            <w:right w:val="none" w:sz="0" w:space="0" w:color="auto"/>
          </w:divBdr>
          <w:divsChild>
            <w:div w:id="1693457631">
              <w:marLeft w:val="0"/>
              <w:marRight w:val="0"/>
              <w:marTop w:val="0"/>
              <w:marBottom w:val="0"/>
              <w:divBdr>
                <w:top w:val="none" w:sz="0" w:space="0" w:color="auto"/>
                <w:left w:val="none" w:sz="0" w:space="0" w:color="auto"/>
                <w:bottom w:val="none" w:sz="0" w:space="0" w:color="auto"/>
                <w:right w:val="none" w:sz="0" w:space="0" w:color="auto"/>
              </w:divBdr>
              <w:divsChild>
                <w:div w:id="611326950">
                  <w:marLeft w:val="0"/>
                  <w:marRight w:val="0"/>
                  <w:marTop w:val="0"/>
                  <w:marBottom w:val="0"/>
                  <w:divBdr>
                    <w:top w:val="none" w:sz="0" w:space="0" w:color="auto"/>
                    <w:left w:val="none" w:sz="0" w:space="0" w:color="auto"/>
                    <w:bottom w:val="none" w:sz="0" w:space="0" w:color="auto"/>
                    <w:right w:val="none" w:sz="0" w:space="0" w:color="auto"/>
                  </w:divBdr>
                  <w:divsChild>
                    <w:div w:id="692612231">
                      <w:marLeft w:val="0"/>
                      <w:marRight w:val="0"/>
                      <w:marTop w:val="0"/>
                      <w:marBottom w:val="0"/>
                      <w:divBdr>
                        <w:top w:val="none" w:sz="0" w:space="0" w:color="auto"/>
                        <w:left w:val="none" w:sz="0" w:space="0" w:color="auto"/>
                        <w:bottom w:val="none" w:sz="0" w:space="0" w:color="auto"/>
                        <w:right w:val="none" w:sz="0" w:space="0" w:color="auto"/>
                      </w:divBdr>
                      <w:divsChild>
                        <w:div w:id="781609409">
                          <w:marLeft w:val="0"/>
                          <w:marRight w:val="0"/>
                          <w:marTop w:val="0"/>
                          <w:marBottom w:val="0"/>
                          <w:divBdr>
                            <w:top w:val="none" w:sz="0" w:space="0" w:color="auto"/>
                            <w:left w:val="none" w:sz="0" w:space="0" w:color="auto"/>
                            <w:bottom w:val="none" w:sz="0" w:space="0" w:color="auto"/>
                            <w:right w:val="none" w:sz="0" w:space="0" w:color="auto"/>
                          </w:divBdr>
                          <w:divsChild>
                            <w:div w:id="1775711777">
                              <w:marLeft w:val="0"/>
                              <w:marRight w:val="0"/>
                              <w:marTop w:val="0"/>
                              <w:marBottom w:val="0"/>
                              <w:divBdr>
                                <w:top w:val="none" w:sz="0" w:space="0" w:color="auto"/>
                                <w:left w:val="none" w:sz="0" w:space="0" w:color="auto"/>
                                <w:bottom w:val="none" w:sz="0" w:space="0" w:color="auto"/>
                                <w:right w:val="none" w:sz="0" w:space="0" w:color="auto"/>
                              </w:divBdr>
                              <w:divsChild>
                                <w:div w:id="470174644">
                                  <w:marLeft w:val="0"/>
                                  <w:marRight w:val="0"/>
                                  <w:marTop w:val="0"/>
                                  <w:marBottom w:val="0"/>
                                  <w:divBdr>
                                    <w:top w:val="none" w:sz="0" w:space="0" w:color="auto"/>
                                    <w:left w:val="none" w:sz="0" w:space="0" w:color="auto"/>
                                    <w:bottom w:val="none" w:sz="0" w:space="0" w:color="auto"/>
                                    <w:right w:val="none" w:sz="0" w:space="0" w:color="auto"/>
                                  </w:divBdr>
                                  <w:divsChild>
                                    <w:div w:id="708183685">
                                      <w:marLeft w:val="0"/>
                                      <w:marRight w:val="0"/>
                                      <w:marTop w:val="0"/>
                                      <w:marBottom w:val="0"/>
                                      <w:divBdr>
                                        <w:top w:val="none" w:sz="0" w:space="0" w:color="auto"/>
                                        <w:left w:val="none" w:sz="0" w:space="0" w:color="auto"/>
                                        <w:bottom w:val="none" w:sz="0" w:space="0" w:color="auto"/>
                                        <w:right w:val="none" w:sz="0" w:space="0" w:color="auto"/>
                                      </w:divBdr>
                                      <w:divsChild>
                                        <w:div w:id="365833387">
                                          <w:marLeft w:val="0"/>
                                          <w:marRight w:val="0"/>
                                          <w:marTop w:val="0"/>
                                          <w:marBottom w:val="0"/>
                                          <w:divBdr>
                                            <w:top w:val="none" w:sz="0" w:space="0" w:color="auto"/>
                                            <w:left w:val="none" w:sz="0" w:space="0" w:color="auto"/>
                                            <w:bottom w:val="none" w:sz="0" w:space="0" w:color="auto"/>
                                            <w:right w:val="none" w:sz="0" w:space="0" w:color="auto"/>
                                          </w:divBdr>
                                          <w:divsChild>
                                            <w:div w:id="658269558">
                                              <w:marLeft w:val="0"/>
                                              <w:marRight w:val="0"/>
                                              <w:marTop w:val="0"/>
                                              <w:marBottom w:val="0"/>
                                              <w:divBdr>
                                                <w:top w:val="none" w:sz="0" w:space="0" w:color="auto"/>
                                                <w:left w:val="none" w:sz="0" w:space="0" w:color="auto"/>
                                                <w:bottom w:val="none" w:sz="0" w:space="0" w:color="auto"/>
                                                <w:right w:val="none" w:sz="0" w:space="0" w:color="auto"/>
                                              </w:divBdr>
                                              <w:divsChild>
                                                <w:div w:id="1261522443">
                                                  <w:marLeft w:val="0"/>
                                                  <w:marRight w:val="0"/>
                                                  <w:marTop w:val="0"/>
                                                  <w:marBottom w:val="0"/>
                                                  <w:divBdr>
                                                    <w:top w:val="none" w:sz="0" w:space="0" w:color="auto"/>
                                                    <w:left w:val="none" w:sz="0" w:space="0" w:color="auto"/>
                                                    <w:bottom w:val="none" w:sz="0" w:space="0" w:color="auto"/>
                                                    <w:right w:val="none" w:sz="0" w:space="0" w:color="auto"/>
                                                  </w:divBdr>
                                                  <w:divsChild>
                                                    <w:div w:id="22781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4974589">
      <w:bodyDiv w:val="1"/>
      <w:marLeft w:val="0"/>
      <w:marRight w:val="0"/>
      <w:marTop w:val="0"/>
      <w:marBottom w:val="0"/>
      <w:divBdr>
        <w:top w:val="none" w:sz="0" w:space="0" w:color="auto"/>
        <w:left w:val="none" w:sz="0" w:space="0" w:color="auto"/>
        <w:bottom w:val="none" w:sz="0" w:space="0" w:color="auto"/>
        <w:right w:val="none" w:sz="0" w:space="0" w:color="auto"/>
      </w:divBdr>
    </w:div>
    <w:div w:id="1937404542">
      <w:bodyDiv w:val="1"/>
      <w:marLeft w:val="0"/>
      <w:marRight w:val="0"/>
      <w:marTop w:val="0"/>
      <w:marBottom w:val="0"/>
      <w:divBdr>
        <w:top w:val="none" w:sz="0" w:space="0" w:color="auto"/>
        <w:left w:val="none" w:sz="0" w:space="0" w:color="auto"/>
        <w:bottom w:val="none" w:sz="0" w:space="0" w:color="auto"/>
        <w:right w:val="none" w:sz="0" w:space="0" w:color="auto"/>
      </w:divBdr>
    </w:div>
    <w:div w:id="1940335347">
      <w:bodyDiv w:val="1"/>
      <w:marLeft w:val="0"/>
      <w:marRight w:val="0"/>
      <w:marTop w:val="0"/>
      <w:marBottom w:val="0"/>
      <w:divBdr>
        <w:top w:val="none" w:sz="0" w:space="0" w:color="auto"/>
        <w:left w:val="none" w:sz="0" w:space="0" w:color="auto"/>
        <w:bottom w:val="none" w:sz="0" w:space="0" w:color="auto"/>
        <w:right w:val="none" w:sz="0" w:space="0" w:color="auto"/>
      </w:divBdr>
    </w:div>
    <w:div w:id="1941404503">
      <w:bodyDiv w:val="1"/>
      <w:marLeft w:val="0"/>
      <w:marRight w:val="0"/>
      <w:marTop w:val="0"/>
      <w:marBottom w:val="0"/>
      <w:divBdr>
        <w:top w:val="none" w:sz="0" w:space="0" w:color="auto"/>
        <w:left w:val="none" w:sz="0" w:space="0" w:color="auto"/>
        <w:bottom w:val="none" w:sz="0" w:space="0" w:color="auto"/>
        <w:right w:val="none" w:sz="0" w:space="0" w:color="auto"/>
      </w:divBdr>
    </w:div>
    <w:div w:id="1951887571">
      <w:bodyDiv w:val="1"/>
      <w:marLeft w:val="0"/>
      <w:marRight w:val="0"/>
      <w:marTop w:val="0"/>
      <w:marBottom w:val="0"/>
      <w:divBdr>
        <w:top w:val="none" w:sz="0" w:space="0" w:color="auto"/>
        <w:left w:val="none" w:sz="0" w:space="0" w:color="auto"/>
        <w:bottom w:val="none" w:sz="0" w:space="0" w:color="auto"/>
        <w:right w:val="none" w:sz="0" w:space="0" w:color="auto"/>
      </w:divBdr>
    </w:div>
    <w:div w:id="1955555070">
      <w:bodyDiv w:val="1"/>
      <w:marLeft w:val="0"/>
      <w:marRight w:val="0"/>
      <w:marTop w:val="0"/>
      <w:marBottom w:val="0"/>
      <w:divBdr>
        <w:top w:val="none" w:sz="0" w:space="0" w:color="auto"/>
        <w:left w:val="none" w:sz="0" w:space="0" w:color="auto"/>
        <w:bottom w:val="none" w:sz="0" w:space="0" w:color="auto"/>
        <w:right w:val="none" w:sz="0" w:space="0" w:color="auto"/>
      </w:divBdr>
    </w:div>
    <w:div w:id="1956213203">
      <w:bodyDiv w:val="1"/>
      <w:marLeft w:val="0"/>
      <w:marRight w:val="0"/>
      <w:marTop w:val="0"/>
      <w:marBottom w:val="0"/>
      <w:divBdr>
        <w:top w:val="none" w:sz="0" w:space="0" w:color="auto"/>
        <w:left w:val="none" w:sz="0" w:space="0" w:color="auto"/>
        <w:bottom w:val="none" w:sz="0" w:space="0" w:color="auto"/>
        <w:right w:val="none" w:sz="0" w:space="0" w:color="auto"/>
      </w:divBdr>
    </w:div>
    <w:div w:id="1956978826">
      <w:bodyDiv w:val="1"/>
      <w:marLeft w:val="0"/>
      <w:marRight w:val="0"/>
      <w:marTop w:val="0"/>
      <w:marBottom w:val="0"/>
      <w:divBdr>
        <w:top w:val="none" w:sz="0" w:space="0" w:color="auto"/>
        <w:left w:val="none" w:sz="0" w:space="0" w:color="auto"/>
        <w:bottom w:val="none" w:sz="0" w:space="0" w:color="auto"/>
        <w:right w:val="none" w:sz="0" w:space="0" w:color="auto"/>
      </w:divBdr>
    </w:div>
    <w:div w:id="1958172777">
      <w:bodyDiv w:val="1"/>
      <w:marLeft w:val="0"/>
      <w:marRight w:val="0"/>
      <w:marTop w:val="0"/>
      <w:marBottom w:val="0"/>
      <w:divBdr>
        <w:top w:val="none" w:sz="0" w:space="0" w:color="auto"/>
        <w:left w:val="none" w:sz="0" w:space="0" w:color="auto"/>
        <w:bottom w:val="none" w:sz="0" w:space="0" w:color="auto"/>
        <w:right w:val="none" w:sz="0" w:space="0" w:color="auto"/>
      </w:divBdr>
    </w:div>
    <w:div w:id="1982273785">
      <w:bodyDiv w:val="1"/>
      <w:marLeft w:val="0"/>
      <w:marRight w:val="0"/>
      <w:marTop w:val="0"/>
      <w:marBottom w:val="0"/>
      <w:divBdr>
        <w:top w:val="none" w:sz="0" w:space="0" w:color="auto"/>
        <w:left w:val="none" w:sz="0" w:space="0" w:color="auto"/>
        <w:bottom w:val="none" w:sz="0" w:space="0" w:color="auto"/>
        <w:right w:val="none" w:sz="0" w:space="0" w:color="auto"/>
      </w:divBdr>
    </w:div>
    <w:div w:id="1995521739">
      <w:bodyDiv w:val="1"/>
      <w:marLeft w:val="0"/>
      <w:marRight w:val="0"/>
      <w:marTop w:val="0"/>
      <w:marBottom w:val="0"/>
      <w:divBdr>
        <w:top w:val="none" w:sz="0" w:space="0" w:color="auto"/>
        <w:left w:val="none" w:sz="0" w:space="0" w:color="auto"/>
        <w:bottom w:val="none" w:sz="0" w:space="0" w:color="auto"/>
        <w:right w:val="none" w:sz="0" w:space="0" w:color="auto"/>
      </w:divBdr>
    </w:div>
    <w:div w:id="2015840107">
      <w:bodyDiv w:val="1"/>
      <w:marLeft w:val="0"/>
      <w:marRight w:val="0"/>
      <w:marTop w:val="0"/>
      <w:marBottom w:val="0"/>
      <w:divBdr>
        <w:top w:val="none" w:sz="0" w:space="0" w:color="auto"/>
        <w:left w:val="none" w:sz="0" w:space="0" w:color="auto"/>
        <w:bottom w:val="none" w:sz="0" w:space="0" w:color="auto"/>
        <w:right w:val="none" w:sz="0" w:space="0" w:color="auto"/>
      </w:divBdr>
      <w:divsChild>
        <w:div w:id="2125271868">
          <w:marLeft w:val="0"/>
          <w:marRight w:val="0"/>
          <w:marTop w:val="0"/>
          <w:marBottom w:val="120"/>
          <w:divBdr>
            <w:top w:val="none" w:sz="0" w:space="0" w:color="auto"/>
            <w:left w:val="none" w:sz="0" w:space="0" w:color="auto"/>
            <w:bottom w:val="none" w:sz="0" w:space="0" w:color="auto"/>
            <w:right w:val="none" w:sz="0" w:space="0" w:color="auto"/>
          </w:divBdr>
        </w:div>
        <w:div w:id="806971396">
          <w:marLeft w:val="0"/>
          <w:marRight w:val="0"/>
          <w:marTop w:val="0"/>
          <w:marBottom w:val="0"/>
          <w:divBdr>
            <w:top w:val="none" w:sz="0" w:space="0" w:color="auto"/>
            <w:left w:val="none" w:sz="0" w:space="0" w:color="auto"/>
            <w:bottom w:val="none" w:sz="0" w:space="0" w:color="auto"/>
            <w:right w:val="none" w:sz="0" w:space="0" w:color="auto"/>
          </w:divBdr>
          <w:divsChild>
            <w:div w:id="2114592785">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017346558">
      <w:bodyDiv w:val="1"/>
      <w:marLeft w:val="0"/>
      <w:marRight w:val="0"/>
      <w:marTop w:val="0"/>
      <w:marBottom w:val="0"/>
      <w:divBdr>
        <w:top w:val="none" w:sz="0" w:space="0" w:color="auto"/>
        <w:left w:val="none" w:sz="0" w:space="0" w:color="auto"/>
        <w:bottom w:val="none" w:sz="0" w:space="0" w:color="auto"/>
        <w:right w:val="none" w:sz="0" w:space="0" w:color="auto"/>
      </w:divBdr>
    </w:div>
    <w:div w:id="2018968248">
      <w:bodyDiv w:val="1"/>
      <w:marLeft w:val="0"/>
      <w:marRight w:val="0"/>
      <w:marTop w:val="0"/>
      <w:marBottom w:val="0"/>
      <w:divBdr>
        <w:top w:val="none" w:sz="0" w:space="0" w:color="auto"/>
        <w:left w:val="none" w:sz="0" w:space="0" w:color="auto"/>
        <w:bottom w:val="none" w:sz="0" w:space="0" w:color="auto"/>
        <w:right w:val="none" w:sz="0" w:space="0" w:color="auto"/>
      </w:divBdr>
      <w:divsChild>
        <w:div w:id="116605199">
          <w:marLeft w:val="0"/>
          <w:marRight w:val="0"/>
          <w:marTop w:val="0"/>
          <w:marBottom w:val="0"/>
          <w:divBdr>
            <w:top w:val="none" w:sz="0" w:space="0" w:color="auto"/>
            <w:left w:val="none" w:sz="0" w:space="0" w:color="auto"/>
            <w:bottom w:val="none" w:sz="0" w:space="0" w:color="auto"/>
            <w:right w:val="none" w:sz="0" w:space="0" w:color="auto"/>
          </w:divBdr>
          <w:divsChild>
            <w:div w:id="2007437316">
              <w:marLeft w:val="0"/>
              <w:marRight w:val="0"/>
              <w:marTop w:val="0"/>
              <w:marBottom w:val="0"/>
              <w:divBdr>
                <w:top w:val="none" w:sz="0" w:space="0" w:color="auto"/>
                <w:left w:val="none" w:sz="0" w:space="0" w:color="auto"/>
                <w:bottom w:val="none" w:sz="0" w:space="0" w:color="auto"/>
                <w:right w:val="none" w:sz="0" w:space="0" w:color="auto"/>
              </w:divBdr>
              <w:divsChild>
                <w:div w:id="1852183673">
                  <w:marLeft w:val="0"/>
                  <w:marRight w:val="0"/>
                  <w:marTop w:val="0"/>
                  <w:marBottom w:val="0"/>
                  <w:divBdr>
                    <w:top w:val="none" w:sz="0" w:space="0" w:color="auto"/>
                    <w:left w:val="none" w:sz="0" w:space="0" w:color="auto"/>
                    <w:bottom w:val="none" w:sz="0" w:space="0" w:color="auto"/>
                    <w:right w:val="none" w:sz="0" w:space="0" w:color="auto"/>
                  </w:divBdr>
                  <w:divsChild>
                    <w:div w:id="1888225433">
                      <w:marLeft w:val="0"/>
                      <w:marRight w:val="0"/>
                      <w:marTop w:val="0"/>
                      <w:marBottom w:val="0"/>
                      <w:divBdr>
                        <w:top w:val="none" w:sz="0" w:space="0" w:color="auto"/>
                        <w:left w:val="none" w:sz="0" w:space="0" w:color="auto"/>
                        <w:bottom w:val="none" w:sz="0" w:space="0" w:color="auto"/>
                        <w:right w:val="none" w:sz="0" w:space="0" w:color="auto"/>
                      </w:divBdr>
                      <w:divsChild>
                        <w:div w:id="500774018">
                          <w:marLeft w:val="0"/>
                          <w:marRight w:val="0"/>
                          <w:marTop w:val="0"/>
                          <w:marBottom w:val="0"/>
                          <w:divBdr>
                            <w:top w:val="none" w:sz="0" w:space="0" w:color="auto"/>
                            <w:left w:val="none" w:sz="0" w:space="0" w:color="auto"/>
                            <w:bottom w:val="none" w:sz="0" w:space="0" w:color="auto"/>
                            <w:right w:val="none" w:sz="0" w:space="0" w:color="auto"/>
                          </w:divBdr>
                          <w:divsChild>
                            <w:div w:id="1787894109">
                              <w:marLeft w:val="0"/>
                              <w:marRight w:val="0"/>
                              <w:marTop w:val="0"/>
                              <w:marBottom w:val="0"/>
                              <w:divBdr>
                                <w:top w:val="none" w:sz="0" w:space="0" w:color="auto"/>
                                <w:left w:val="none" w:sz="0" w:space="0" w:color="auto"/>
                                <w:bottom w:val="none" w:sz="0" w:space="0" w:color="auto"/>
                                <w:right w:val="none" w:sz="0" w:space="0" w:color="auto"/>
                              </w:divBdr>
                              <w:divsChild>
                                <w:div w:id="1518040001">
                                  <w:marLeft w:val="0"/>
                                  <w:marRight w:val="0"/>
                                  <w:marTop w:val="0"/>
                                  <w:marBottom w:val="0"/>
                                  <w:divBdr>
                                    <w:top w:val="none" w:sz="0" w:space="0" w:color="auto"/>
                                    <w:left w:val="none" w:sz="0" w:space="0" w:color="auto"/>
                                    <w:bottom w:val="none" w:sz="0" w:space="0" w:color="auto"/>
                                    <w:right w:val="none" w:sz="0" w:space="0" w:color="auto"/>
                                  </w:divBdr>
                                  <w:divsChild>
                                    <w:div w:id="2123844752">
                                      <w:marLeft w:val="0"/>
                                      <w:marRight w:val="0"/>
                                      <w:marTop w:val="0"/>
                                      <w:marBottom w:val="0"/>
                                      <w:divBdr>
                                        <w:top w:val="none" w:sz="0" w:space="0" w:color="auto"/>
                                        <w:left w:val="none" w:sz="0" w:space="0" w:color="auto"/>
                                        <w:bottom w:val="none" w:sz="0" w:space="0" w:color="auto"/>
                                        <w:right w:val="none" w:sz="0" w:space="0" w:color="auto"/>
                                      </w:divBdr>
                                      <w:divsChild>
                                        <w:div w:id="67967561">
                                          <w:marLeft w:val="0"/>
                                          <w:marRight w:val="0"/>
                                          <w:marTop w:val="0"/>
                                          <w:marBottom w:val="0"/>
                                          <w:divBdr>
                                            <w:top w:val="none" w:sz="0" w:space="0" w:color="auto"/>
                                            <w:left w:val="none" w:sz="0" w:space="0" w:color="auto"/>
                                            <w:bottom w:val="none" w:sz="0" w:space="0" w:color="auto"/>
                                            <w:right w:val="none" w:sz="0" w:space="0" w:color="auto"/>
                                          </w:divBdr>
                                          <w:divsChild>
                                            <w:div w:id="388303102">
                                              <w:marLeft w:val="0"/>
                                              <w:marRight w:val="0"/>
                                              <w:marTop w:val="0"/>
                                              <w:marBottom w:val="0"/>
                                              <w:divBdr>
                                                <w:top w:val="none" w:sz="0" w:space="0" w:color="auto"/>
                                                <w:left w:val="none" w:sz="0" w:space="0" w:color="auto"/>
                                                <w:bottom w:val="none" w:sz="0" w:space="0" w:color="auto"/>
                                                <w:right w:val="none" w:sz="0" w:space="0" w:color="auto"/>
                                              </w:divBdr>
                                              <w:divsChild>
                                                <w:div w:id="76095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0888677">
      <w:bodyDiv w:val="1"/>
      <w:marLeft w:val="0"/>
      <w:marRight w:val="0"/>
      <w:marTop w:val="0"/>
      <w:marBottom w:val="0"/>
      <w:divBdr>
        <w:top w:val="none" w:sz="0" w:space="0" w:color="auto"/>
        <w:left w:val="none" w:sz="0" w:space="0" w:color="auto"/>
        <w:bottom w:val="none" w:sz="0" w:space="0" w:color="auto"/>
        <w:right w:val="none" w:sz="0" w:space="0" w:color="auto"/>
      </w:divBdr>
    </w:div>
    <w:div w:id="2030065644">
      <w:bodyDiv w:val="1"/>
      <w:marLeft w:val="0"/>
      <w:marRight w:val="0"/>
      <w:marTop w:val="0"/>
      <w:marBottom w:val="0"/>
      <w:divBdr>
        <w:top w:val="none" w:sz="0" w:space="0" w:color="auto"/>
        <w:left w:val="none" w:sz="0" w:space="0" w:color="auto"/>
        <w:bottom w:val="none" w:sz="0" w:space="0" w:color="auto"/>
        <w:right w:val="none" w:sz="0" w:space="0" w:color="auto"/>
      </w:divBdr>
    </w:div>
    <w:div w:id="2033875192">
      <w:bodyDiv w:val="1"/>
      <w:marLeft w:val="0"/>
      <w:marRight w:val="0"/>
      <w:marTop w:val="0"/>
      <w:marBottom w:val="0"/>
      <w:divBdr>
        <w:top w:val="none" w:sz="0" w:space="0" w:color="auto"/>
        <w:left w:val="none" w:sz="0" w:space="0" w:color="auto"/>
        <w:bottom w:val="none" w:sz="0" w:space="0" w:color="auto"/>
        <w:right w:val="none" w:sz="0" w:space="0" w:color="auto"/>
      </w:divBdr>
    </w:div>
    <w:div w:id="2054185207">
      <w:bodyDiv w:val="1"/>
      <w:marLeft w:val="0"/>
      <w:marRight w:val="0"/>
      <w:marTop w:val="0"/>
      <w:marBottom w:val="0"/>
      <w:divBdr>
        <w:top w:val="none" w:sz="0" w:space="0" w:color="auto"/>
        <w:left w:val="none" w:sz="0" w:space="0" w:color="auto"/>
        <w:bottom w:val="none" w:sz="0" w:space="0" w:color="auto"/>
        <w:right w:val="none" w:sz="0" w:space="0" w:color="auto"/>
      </w:divBdr>
    </w:div>
    <w:div w:id="2056345705">
      <w:bodyDiv w:val="1"/>
      <w:marLeft w:val="0"/>
      <w:marRight w:val="0"/>
      <w:marTop w:val="0"/>
      <w:marBottom w:val="0"/>
      <w:divBdr>
        <w:top w:val="none" w:sz="0" w:space="0" w:color="auto"/>
        <w:left w:val="none" w:sz="0" w:space="0" w:color="auto"/>
        <w:bottom w:val="none" w:sz="0" w:space="0" w:color="auto"/>
        <w:right w:val="none" w:sz="0" w:space="0" w:color="auto"/>
      </w:divBdr>
    </w:div>
    <w:div w:id="2058701687">
      <w:bodyDiv w:val="1"/>
      <w:marLeft w:val="0"/>
      <w:marRight w:val="0"/>
      <w:marTop w:val="0"/>
      <w:marBottom w:val="0"/>
      <w:divBdr>
        <w:top w:val="none" w:sz="0" w:space="0" w:color="auto"/>
        <w:left w:val="none" w:sz="0" w:space="0" w:color="auto"/>
        <w:bottom w:val="none" w:sz="0" w:space="0" w:color="auto"/>
        <w:right w:val="none" w:sz="0" w:space="0" w:color="auto"/>
      </w:divBdr>
    </w:div>
    <w:div w:id="2064592734">
      <w:bodyDiv w:val="1"/>
      <w:marLeft w:val="0"/>
      <w:marRight w:val="0"/>
      <w:marTop w:val="0"/>
      <w:marBottom w:val="0"/>
      <w:divBdr>
        <w:top w:val="none" w:sz="0" w:space="0" w:color="auto"/>
        <w:left w:val="none" w:sz="0" w:space="0" w:color="auto"/>
        <w:bottom w:val="none" w:sz="0" w:space="0" w:color="auto"/>
        <w:right w:val="none" w:sz="0" w:space="0" w:color="auto"/>
      </w:divBdr>
    </w:div>
    <w:div w:id="2077048967">
      <w:bodyDiv w:val="1"/>
      <w:marLeft w:val="0"/>
      <w:marRight w:val="0"/>
      <w:marTop w:val="0"/>
      <w:marBottom w:val="0"/>
      <w:divBdr>
        <w:top w:val="none" w:sz="0" w:space="0" w:color="auto"/>
        <w:left w:val="none" w:sz="0" w:space="0" w:color="auto"/>
        <w:bottom w:val="none" w:sz="0" w:space="0" w:color="auto"/>
        <w:right w:val="none" w:sz="0" w:space="0" w:color="auto"/>
      </w:divBdr>
    </w:div>
    <w:div w:id="2082364170">
      <w:bodyDiv w:val="1"/>
      <w:marLeft w:val="0"/>
      <w:marRight w:val="0"/>
      <w:marTop w:val="0"/>
      <w:marBottom w:val="0"/>
      <w:divBdr>
        <w:top w:val="none" w:sz="0" w:space="0" w:color="auto"/>
        <w:left w:val="none" w:sz="0" w:space="0" w:color="auto"/>
        <w:bottom w:val="none" w:sz="0" w:space="0" w:color="auto"/>
        <w:right w:val="none" w:sz="0" w:space="0" w:color="auto"/>
      </w:divBdr>
    </w:div>
    <w:div w:id="2084135726">
      <w:bodyDiv w:val="1"/>
      <w:marLeft w:val="0"/>
      <w:marRight w:val="0"/>
      <w:marTop w:val="0"/>
      <w:marBottom w:val="0"/>
      <w:divBdr>
        <w:top w:val="none" w:sz="0" w:space="0" w:color="auto"/>
        <w:left w:val="none" w:sz="0" w:space="0" w:color="auto"/>
        <w:bottom w:val="none" w:sz="0" w:space="0" w:color="auto"/>
        <w:right w:val="none" w:sz="0" w:space="0" w:color="auto"/>
      </w:divBdr>
    </w:div>
    <w:div w:id="2086488107">
      <w:bodyDiv w:val="1"/>
      <w:marLeft w:val="0"/>
      <w:marRight w:val="0"/>
      <w:marTop w:val="0"/>
      <w:marBottom w:val="0"/>
      <w:divBdr>
        <w:top w:val="none" w:sz="0" w:space="0" w:color="auto"/>
        <w:left w:val="none" w:sz="0" w:space="0" w:color="auto"/>
        <w:bottom w:val="none" w:sz="0" w:space="0" w:color="auto"/>
        <w:right w:val="none" w:sz="0" w:space="0" w:color="auto"/>
      </w:divBdr>
    </w:div>
    <w:div w:id="2088965177">
      <w:bodyDiv w:val="1"/>
      <w:marLeft w:val="0"/>
      <w:marRight w:val="0"/>
      <w:marTop w:val="0"/>
      <w:marBottom w:val="0"/>
      <w:divBdr>
        <w:top w:val="none" w:sz="0" w:space="0" w:color="auto"/>
        <w:left w:val="none" w:sz="0" w:space="0" w:color="auto"/>
        <w:bottom w:val="none" w:sz="0" w:space="0" w:color="auto"/>
        <w:right w:val="none" w:sz="0" w:space="0" w:color="auto"/>
      </w:divBdr>
    </w:div>
    <w:div w:id="2092852002">
      <w:bodyDiv w:val="1"/>
      <w:marLeft w:val="0"/>
      <w:marRight w:val="0"/>
      <w:marTop w:val="0"/>
      <w:marBottom w:val="0"/>
      <w:divBdr>
        <w:top w:val="none" w:sz="0" w:space="0" w:color="auto"/>
        <w:left w:val="none" w:sz="0" w:space="0" w:color="auto"/>
        <w:bottom w:val="none" w:sz="0" w:space="0" w:color="auto"/>
        <w:right w:val="none" w:sz="0" w:space="0" w:color="auto"/>
      </w:divBdr>
    </w:div>
    <w:div w:id="2098868586">
      <w:bodyDiv w:val="1"/>
      <w:marLeft w:val="0"/>
      <w:marRight w:val="0"/>
      <w:marTop w:val="0"/>
      <w:marBottom w:val="0"/>
      <w:divBdr>
        <w:top w:val="none" w:sz="0" w:space="0" w:color="auto"/>
        <w:left w:val="none" w:sz="0" w:space="0" w:color="auto"/>
        <w:bottom w:val="none" w:sz="0" w:space="0" w:color="auto"/>
        <w:right w:val="none" w:sz="0" w:space="0" w:color="auto"/>
      </w:divBdr>
    </w:div>
    <w:div w:id="2105609313">
      <w:bodyDiv w:val="1"/>
      <w:marLeft w:val="0"/>
      <w:marRight w:val="0"/>
      <w:marTop w:val="0"/>
      <w:marBottom w:val="0"/>
      <w:divBdr>
        <w:top w:val="none" w:sz="0" w:space="0" w:color="auto"/>
        <w:left w:val="none" w:sz="0" w:space="0" w:color="auto"/>
        <w:bottom w:val="none" w:sz="0" w:space="0" w:color="auto"/>
        <w:right w:val="none" w:sz="0" w:space="0" w:color="auto"/>
      </w:divBdr>
    </w:div>
    <w:div w:id="2133211953">
      <w:bodyDiv w:val="1"/>
      <w:marLeft w:val="0"/>
      <w:marRight w:val="0"/>
      <w:marTop w:val="0"/>
      <w:marBottom w:val="0"/>
      <w:divBdr>
        <w:top w:val="none" w:sz="0" w:space="0" w:color="auto"/>
        <w:left w:val="none" w:sz="0" w:space="0" w:color="auto"/>
        <w:bottom w:val="none" w:sz="0" w:space="0" w:color="auto"/>
        <w:right w:val="none" w:sz="0" w:space="0" w:color="auto"/>
      </w:divBdr>
      <w:divsChild>
        <w:div w:id="1470634011">
          <w:marLeft w:val="0"/>
          <w:marRight w:val="0"/>
          <w:marTop w:val="0"/>
          <w:marBottom w:val="120"/>
          <w:divBdr>
            <w:top w:val="none" w:sz="0" w:space="0" w:color="auto"/>
            <w:left w:val="none" w:sz="0" w:space="0" w:color="auto"/>
            <w:bottom w:val="none" w:sz="0" w:space="0" w:color="auto"/>
            <w:right w:val="none" w:sz="0" w:space="0" w:color="auto"/>
          </w:divBdr>
        </w:div>
        <w:div w:id="941886528">
          <w:marLeft w:val="0"/>
          <w:marRight w:val="0"/>
          <w:marTop w:val="0"/>
          <w:marBottom w:val="0"/>
          <w:divBdr>
            <w:top w:val="none" w:sz="0" w:space="0" w:color="auto"/>
            <w:left w:val="none" w:sz="0" w:space="0" w:color="auto"/>
            <w:bottom w:val="none" w:sz="0" w:space="0" w:color="auto"/>
            <w:right w:val="none" w:sz="0" w:space="0" w:color="auto"/>
          </w:divBdr>
          <w:divsChild>
            <w:div w:id="1631471562">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14507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mj.com/content/376/bmj.o443" TargetMode="External"/><Relationship Id="rId18" Type="http://schemas.openxmlformats.org/officeDocument/2006/relationships/hyperlink" Target="https://www.thelancet.com/journals/laninf/article/PIIS1473-3099(22)00065-2/fulltext" TargetMode="External"/><Relationship Id="rId26" Type="http://schemas.openxmlformats.org/officeDocument/2006/relationships/hyperlink" Target="https://jamanetwork.com/journals/jamanetworkopen/fullarticle/2789579" TargetMode="External"/><Relationship Id="rId39" Type="http://schemas.openxmlformats.org/officeDocument/2006/relationships/hyperlink" Target="https://www.thelancet.com/journals/lancet/article/PIIS0140-6736(22)00366-X/fulltext" TargetMode="External"/><Relationship Id="rId21" Type="http://schemas.openxmlformats.org/officeDocument/2006/relationships/hyperlink" Target="https://www.thelancet.com/journals/langlo/article/PIIS2214-109X(22)00003-1/fulltext" TargetMode="External"/><Relationship Id="rId34" Type="http://schemas.openxmlformats.org/officeDocument/2006/relationships/hyperlink" Target="https://www.thelancet.com/journals/ebiom/article/PIIS2352-3964(22)00088-3/fulltext" TargetMode="External"/><Relationship Id="rId42" Type="http://schemas.openxmlformats.org/officeDocument/2006/relationships/hyperlink" Target="https://www.nejm.org/doi/full/10.1056/NEJMp2202669?query=featured_coronavirus" TargetMode="External"/><Relationship Id="rId47" Type="http://schemas.openxmlformats.org/officeDocument/2006/relationships/hyperlink" Target="https://www.bmj.com/content/376/bmj.o585" TargetMode="External"/><Relationship Id="rId50" Type="http://schemas.openxmlformats.org/officeDocument/2006/relationships/hyperlink" Target="https://www.nuffieldtrust.org.uk/files/2022-03/health-system-recovery-final-pdf-1-.pdf" TargetMode="External"/><Relationship Id="rId55" Type="http://schemas.openxmlformats.org/officeDocument/2006/relationships/hyperlink" Target="https://www.thelancet.com/journals/lancet/article/PIIS0140-6736(22)00008-3/fulltext" TargetMode="External"/><Relationship Id="rId63" Type="http://schemas.openxmlformats.org/officeDocument/2006/relationships/hyperlink" Target="https://www.trftlibraryknowledge.com/" TargetMode="External"/><Relationship Id="rId68" Type="http://schemas.openxmlformats.org/officeDocument/2006/relationships/hyperlink" Target="https://www.trftlibraryknowledge.com/health-newsfeeds.html" TargetMode="Externa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thelancet.com/journals/eclinm/article/PIIS2589-5370(22)00048-7/fulltext" TargetMode="External"/><Relationship Id="rId29" Type="http://schemas.openxmlformats.org/officeDocument/2006/relationships/hyperlink" Target="https://www.nejm.org/doi/full/10.1056/NEJMoa211945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amanetwork.com/journals/jama/fullarticle/2789793" TargetMode="External"/><Relationship Id="rId24" Type="http://schemas.openxmlformats.org/officeDocument/2006/relationships/hyperlink" Target="https://www.thelancet.com/journals/lanchi/article/PIIS2352-4642(22)00065-7/fulltext" TargetMode="External"/><Relationship Id="rId32" Type="http://schemas.openxmlformats.org/officeDocument/2006/relationships/hyperlink" Target="https://www.bmj.com/content/376/bmj.o565" TargetMode="External"/><Relationship Id="rId37" Type="http://schemas.openxmlformats.org/officeDocument/2006/relationships/hyperlink" Target="https://www.nejm.org/doi/full/10.1056/NEJMoa2117608" TargetMode="External"/><Relationship Id="rId40" Type="http://schemas.openxmlformats.org/officeDocument/2006/relationships/hyperlink" Target="https://www.thelancet.com/journals/lanwpc/article/PIIS2666-6065(22)00025-6/fulltext" TargetMode="External"/><Relationship Id="rId45" Type="http://schemas.openxmlformats.org/officeDocument/2006/relationships/hyperlink" Target="https://www.bmj.com/content/376/bmj.o406" TargetMode="External"/><Relationship Id="rId53" Type="http://schemas.openxmlformats.org/officeDocument/2006/relationships/hyperlink" Target="https://jamanetwork.com/journals/jamaneurology/fullarticle/2789614" TargetMode="External"/><Relationship Id="rId58" Type="http://schemas.openxmlformats.org/officeDocument/2006/relationships/hyperlink" Target="https://www.trftlibraryknowledge.com/coronavirus.html" TargetMode="External"/><Relationship Id="rId66" Type="http://schemas.openxmlformats.org/officeDocument/2006/relationships/hyperlink" Target="https://twitter.com/hashtag/covid19rftlks?src=hashtag_click" TargetMode="External"/><Relationship Id="rId5" Type="http://schemas.openxmlformats.org/officeDocument/2006/relationships/webSettings" Target="webSettings.xml"/><Relationship Id="rId15" Type="http://schemas.openxmlformats.org/officeDocument/2006/relationships/hyperlink" Target="https://www.thelancet.com/journals/lanrhe/article/PIIS2665-9913(22)00033-9/fulltext" TargetMode="External"/><Relationship Id="rId23" Type="http://schemas.openxmlformats.org/officeDocument/2006/relationships/hyperlink" Target="https://www.thelancet.com/journals/langlo/article/PIIS2214-109X(21)00590-8/fulltext" TargetMode="External"/><Relationship Id="rId28" Type="http://schemas.openxmlformats.org/officeDocument/2006/relationships/hyperlink" Target="https://www.gov.uk/government/consultations/revoking-vaccination-as-a-condition-of-deployment-across-all-health-and-social-care/outcome/revoking-vaccination-as-a-condition-of-deployment-across-all-health-and-social-care-consultation-response" TargetMode="External"/><Relationship Id="rId36" Type="http://schemas.openxmlformats.org/officeDocument/2006/relationships/hyperlink" Target="https://www.thelancet.com/journals/ebiom/article/PIIS2352-3964(22)00086-X/fulltext" TargetMode="External"/><Relationship Id="rId49" Type="http://schemas.openxmlformats.org/officeDocument/2006/relationships/hyperlink" Target="https://www.bmj.com/content/376/bmj.o540" TargetMode="External"/><Relationship Id="rId57" Type="http://schemas.openxmlformats.org/officeDocument/2006/relationships/hyperlink" Target="https://www.trftlibraryknowledge.com/" TargetMode="External"/><Relationship Id="rId61" Type="http://schemas.openxmlformats.org/officeDocument/2006/relationships/hyperlink" Target="http://www.trftlibraryknowledge.com/" TargetMode="External"/><Relationship Id="rId10" Type="http://schemas.openxmlformats.org/officeDocument/2006/relationships/hyperlink" Target="https://www.bmj.com/content/376/bmj.o534" TargetMode="External"/><Relationship Id="rId19" Type="http://schemas.openxmlformats.org/officeDocument/2006/relationships/hyperlink" Target="https://jamanetwork.com/journals/jamanetworkopen/fullarticle/2789573" TargetMode="External"/><Relationship Id="rId31" Type="http://schemas.openxmlformats.org/officeDocument/2006/relationships/hyperlink" Target="https://www.bmj.com/content/376/bmj.o168" TargetMode="External"/><Relationship Id="rId44" Type="http://schemas.openxmlformats.org/officeDocument/2006/relationships/hyperlink" Target="https://jamanetwork.com/journals/jamapediatrics/fullarticle/2789459" TargetMode="External"/><Relationship Id="rId52" Type="http://schemas.openxmlformats.org/officeDocument/2006/relationships/hyperlink" Target="https://jamanetwork.com/journals/jama/fullarticle/2789772" TargetMode="External"/><Relationship Id="rId60" Type="http://schemas.openxmlformats.org/officeDocument/2006/relationships/hyperlink" Target="https://twitter.com/hashtag/covid19rftlks?src=hashtag_click" TargetMode="External"/><Relationship Id="rId65" Type="http://schemas.openxmlformats.org/officeDocument/2006/relationships/hyperlink" Target="https://trfthealthweeklydigest.wordpress.com/" TargetMode="External"/><Relationship Id="rId4" Type="http://schemas.openxmlformats.org/officeDocument/2006/relationships/settings" Target="settings.xml"/><Relationship Id="rId9" Type="http://schemas.openxmlformats.org/officeDocument/2006/relationships/hyperlink" Target="https://jamanetwork.com/journals/jamanetworkopen/fullarticle/2789581" TargetMode="External"/><Relationship Id="rId14" Type="http://schemas.openxmlformats.org/officeDocument/2006/relationships/hyperlink" Target="https://www.thelancet.com/journals/eclinm/article/PIIS2589-5370(22)00040-2/fulltext" TargetMode="External"/><Relationship Id="rId22" Type="http://schemas.openxmlformats.org/officeDocument/2006/relationships/hyperlink" Target="https://www.thelancet.com/journals/langlo/article/PIIS2214-109X(21)00592-1/fulltext" TargetMode="External"/><Relationship Id="rId27" Type="http://schemas.openxmlformats.org/officeDocument/2006/relationships/hyperlink" Target="https://www.gov.uk/government/consultations/revoking-vaccination-as-a-condition-of-deployment-across-all-health-and-social-care/outcome/revoking-vaccination-as-a-condition-of-deployment-across-all-health-and-social-care-consultation-response" TargetMode="External"/><Relationship Id="rId30" Type="http://schemas.openxmlformats.org/officeDocument/2006/relationships/hyperlink" Target="https://www.bmj.com/content/376/bmj.o562" TargetMode="External"/><Relationship Id="rId35" Type="http://schemas.openxmlformats.org/officeDocument/2006/relationships/hyperlink" Target="https://jamanetwork.com/journals/jamanetworkopen/fullarticle/2789572" TargetMode="External"/><Relationship Id="rId43" Type="http://schemas.openxmlformats.org/officeDocument/2006/relationships/hyperlink" Target="https://www.thelancet.com/journals/langlo/article/PIIS2214-109X(21)00593-3/fulltext" TargetMode="External"/><Relationship Id="rId48" Type="http://schemas.openxmlformats.org/officeDocument/2006/relationships/hyperlink" Target="https://www.bmj.com/content/376/bmj.o575" TargetMode="External"/><Relationship Id="rId56" Type="http://schemas.openxmlformats.org/officeDocument/2006/relationships/hyperlink" Target="https://jamanetwork.com/journals/jamanetworkopen/fullarticle/2789619" TargetMode="External"/><Relationship Id="rId64" Type="http://schemas.openxmlformats.org/officeDocument/2006/relationships/hyperlink" Target="https://www.trftlibraryknowledge.com/coronavirus.html" TargetMode="External"/><Relationship Id="rId69" Type="http://schemas.openxmlformats.org/officeDocument/2006/relationships/header" Target="header1.xml"/><Relationship Id="rId8" Type="http://schemas.openxmlformats.org/officeDocument/2006/relationships/hyperlink" Target="https://jamanetwork.com/journals/jamanetworkopen/fullarticle/2789444" TargetMode="External"/><Relationship Id="rId51" Type="http://schemas.openxmlformats.org/officeDocument/2006/relationships/hyperlink" Target="https://www.nuffieldtrust.org.uk/research/health-system-recovery-from-covid-19-international-lessons-for-the-nhs"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www.bmj.com/content/376/bmj.o573" TargetMode="External"/><Relationship Id="rId17" Type="http://schemas.openxmlformats.org/officeDocument/2006/relationships/hyperlink" Target="https://www.thelancet.com/journals/laninf/article/PIIS1473-3099(22)00060-3/fulltext" TargetMode="External"/><Relationship Id="rId25" Type="http://schemas.openxmlformats.org/officeDocument/2006/relationships/hyperlink" Target="https://www.bmj.com/content/376/bmj-2021-068632" TargetMode="External"/><Relationship Id="rId33" Type="http://schemas.openxmlformats.org/officeDocument/2006/relationships/hyperlink" Target="https://www.thelancet.com/journals/lanres/article/PIIS2213-2600(22)00085-6/fulltext" TargetMode="External"/><Relationship Id="rId38" Type="http://schemas.openxmlformats.org/officeDocument/2006/relationships/hyperlink" Target="https://www.thelancet.com/journals/lancet/article/PIIS0140-6736(22)00164-7/fulltext" TargetMode="External"/><Relationship Id="rId46" Type="http://schemas.openxmlformats.org/officeDocument/2006/relationships/hyperlink" Target="https://www.bmj.com/content/376/bmj.o566" TargetMode="External"/><Relationship Id="rId59" Type="http://schemas.openxmlformats.org/officeDocument/2006/relationships/hyperlink" Target="https://trfthealthweeklydigest.wordpress.com/" TargetMode="External"/><Relationship Id="rId67" Type="http://schemas.openxmlformats.org/officeDocument/2006/relationships/hyperlink" Target="http://www.trftlibraryknowledge.com/" TargetMode="External"/><Relationship Id="rId20" Type="http://schemas.openxmlformats.org/officeDocument/2006/relationships/hyperlink" Target="https://www.thelancet.com/journals/langlo/article/PIIS2214-109X(22)00006-7/fulltext" TargetMode="External"/><Relationship Id="rId41" Type="http://schemas.openxmlformats.org/officeDocument/2006/relationships/hyperlink" Target="https://jamanetwork.com/journals/jama/fullarticle/2789917" TargetMode="External"/><Relationship Id="rId54" Type="http://schemas.openxmlformats.org/officeDocument/2006/relationships/hyperlink" Target="https://jamanetwork.com/journals/jamaneurology/fullarticle/2789616" TargetMode="External"/><Relationship Id="rId62" Type="http://schemas.openxmlformats.org/officeDocument/2006/relationships/hyperlink" Target="https://www.trftlibraryknowledge.com/health-newsfeeds.html" TargetMode="External"/><Relationship Id="rId7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A48A7C-47C5-4EAA-AD14-6EFEF5EDB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370</TotalTime>
  <Pages>23</Pages>
  <Words>9016</Words>
  <Characters>51397</Characters>
  <Application>Microsoft Office Word</Application>
  <DocSecurity>0</DocSecurity>
  <Lines>428</Lines>
  <Paragraphs>120</Paragraphs>
  <ScaleCrop>false</ScaleCrop>
  <HeadingPairs>
    <vt:vector size="2" baseType="variant">
      <vt:variant>
        <vt:lpstr>Title</vt:lpstr>
      </vt:variant>
      <vt:variant>
        <vt:i4>1</vt:i4>
      </vt:variant>
    </vt:vector>
  </HeadingPairs>
  <TitlesOfParts>
    <vt:vector size="1" baseType="lpstr">
      <vt:lpstr/>
    </vt:vector>
  </TitlesOfParts>
  <Company>The Rotherham NHS Foundation Trust</Company>
  <LinksUpToDate>false</LinksUpToDate>
  <CharactersWithSpaces>60293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Cartwright Helen</cp:lastModifiedBy>
  <cp:revision>47</cp:revision>
  <cp:lastPrinted>2017-09-22T10:09:00Z</cp:lastPrinted>
  <dcterms:created xsi:type="dcterms:W3CDTF">2022-02-28T09:03:00Z</dcterms:created>
  <dcterms:modified xsi:type="dcterms:W3CDTF">2022-03-07T15:05:00Z</dcterms:modified>
</cp:coreProperties>
</file>