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AD2" w:rsidRPr="003A63FA" w:rsidRDefault="00E60AD2" w:rsidP="00DE4846">
                            <w:pPr>
                              <w:rPr>
                                <w:color w:val="FFFFFF" w:themeColor="background1"/>
                                <w:sz w:val="2"/>
                              </w:rPr>
                            </w:pPr>
                          </w:p>
                          <w:p w:rsidR="00E60AD2" w:rsidRPr="00DE4846" w:rsidRDefault="00E60AD2" w:rsidP="00836C56">
                            <w:pPr>
                              <w:jc w:val="right"/>
                              <w:rPr>
                                <w:color w:val="FFFFFF" w:themeColor="background1"/>
                                <w:sz w:val="40"/>
                                <w:szCs w:val="40"/>
                              </w:rPr>
                            </w:pPr>
                            <w:r>
                              <w:rPr>
                                <w:color w:val="FFFFFF" w:themeColor="background1"/>
                                <w:sz w:val="40"/>
                                <w:szCs w:val="40"/>
                              </w:rPr>
                              <w:t>COVID-19 weekly update</w:t>
                            </w:r>
                          </w:p>
                          <w:p w:rsidR="00E60AD2" w:rsidRPr="00DE4846" w:rsidRDefault="00E60AD2" w:rsidP="00836C56">
                            <w:pPr>
                              <w:jc w:val="right"/>
                              <w:rPr>
                                <w:color w:val="FFFFFF" w:themeColor="background1"/>
                                <w:sz w:val="32"/>
                                <w:szCs w:val="36"/>
                              </w:rPr>
                            </w:pPr>
                            <w:r>
                              <w:rPr>
                                <w:color w:val="FFFFFF" w:themeColor="background1"/>
                                <w:sz w:val="32"/>
                                <w:szCs w:val="36"/>
                              </w:rPr>
                              <w:t>4</w:t>
                            </w:r>
                            <w:r w:rsidRPr="00FC63FB">
                              <w:rPr>
                                <w:color w:val="FFFFFF" w:themeColor="background1"/>
                                <w:sz w:val="32"/>
                                <w:szCs w:val="36"/>
                                <w:vertAlign w:val="superscript"/>
                              </w:rPr>
                              <w:t>th</w:t>
                            </w:r>
                            <w:r>
                              <w:rPr>
                                <w:color w:val="FFFFFF" w:themeColor="background1"/>
                                <w:sz w:val="32"/>
                                <w:szCs w:val="36"/>
                              </w:rPr>
                              <w:t xml:space="preserve"> December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E60AD2" w:rsidRPr="003A63FA" w:rsidRDefault="00E60AD2" w:rsidP="00DE4846">
                      <w:pPr>
                        <w:rPr>
                          <w:color w:val="FFFFFF" w:themeColor="background1"/>
                          <w:sz w:val="2"/>
                        </w:rPr>
                      </w:pPr>
                    </w:p>
                    <w:p w:rsidR="00E60AD2" w:rsidRPr="00DE4846" w:rsidRDefault="00E60AD2" w:rsidP="00836C56">
                      <w:pPr>
                        <w:jc w:val="right"/>
                        <w:rPr>
                          <w:color w:val="FFFFFF" w:themeColor="background1"/>
                          <w:sz w:val="40"/>
                          <w:szCs w:val="40"/>
                        </w:rPr>
                      </w:pPr>
                      <w:r>
                        <w:rPr>
                          <w:color w:val="FFFFFF" w:themeColor="background1"/>
                          <w:sz w:val="40"/>
                          <w:szCs w:val="40"/>
                        </w:rPr>
                        <w:t>COVID-19 weekly update</w:t>
                      </w:r>
                    </w:p>
                    <w:p w:rsidR="00E60AD2" w:rsidRPr="00DE4846" w:rsidRDefault="00E60AD2" w:rsidP="00836C56">
                      <w:pPr>
                        <w:jc w:val="right"/>
                        <w:rPr>
                          <w:color w:val="FFFFFF" w:themeColor="background1"/>
                          <w:sz w:val="32"/>
                          <w:szCs w:val="36"/>
                        </w:rPr>
                      </w:pPr>
                      <w:r>
                        <w:rPr>
                          <w:color w:val="FFFFFF" w:themeColor="background1"/>
                          <w:sz w:val="32"/>
                          <w:szCs w:val="36"/>
                        </w:rPr>
                        <w:t>4</w:t>
                      </w:r>
                      <w:r w:rsidRPr="00FC63FB">
                        <w:rPr>
                          <w:color w:val="FFFFFF" w:themeColor="background1"/>
                          <w:sz w:val="32"/>
                          <w:szCs w:val="36"/>
                          <w:vertAlign w:val="superscript"/>
                        </w:rPr>
                        <w:t>th</w:t>
                      </w:r>
                      <w:r>
                        <w:rPr>
                          <w:color w:val="FFFFFF" w:themeColor="background1"/>
                          <w:sz w:val="32"/>
                          <w:szCs w:val="36"/>
                        </w:rPr>
                        <w:t xml:space="preserve"> December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0AD2" w:rsidRDefault="00E60AD2"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E60AD2" w:rsidRDefault="00E60AD2"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5E0580" w:rsidRPr="005E0580">
        <w:rPr>
          <w:rFonts w:eastAsiaTheme="minorEastAsia"/>
          <w:caps/>
          <w:spacing w:val="15"/>
        </w:rPr>
        <w:t>D614G Spike Variant Does Not Alter I</w:t>
      </w:r>
      <w:r w:rsidR="009360A8" w:rsidRPr="005E0580">
        <w:rPr>
          <w:rFonts w:eastAsiaTheme="minorEastAsia"/>
          <w:spacing w:val="15"/>
        </w:rPr>
        <w:t>g</w:t>
      </w:r>
      <w:r w:rsidR="005E0580" w:rsidRPr="005E0580">
        <w:rPr>
          <w:rFonts w:eastAsiaTheme="minorEastAsia"/>
          <w:caps/>
          <w:spacing w:val="15"/>
        </w:rPr>
        <w:t>G, I</w:t>
      </w:r>
      <w:r w:rsidR="009360A8" w:rsidRPr="005E0580">
        <w:rPr>
          <w:rFonts w:eastAsiaTheme="minorEastAsia"/>
          <w:spacing w:val="15"/>
        </w:rPr>
        <w:t>g</w:t>
      </w:r>
      <w:r w:rsidR="005E0580" w:rsidRPr="005E0580">
        <w:rPr>
          <w:rFonts w:eastAsiaTheme="minorEastAsia"/>
          <w:caps/>
          <w:spacing w:val="15"/>
        </w:rPr>
        <w:t>M, or I</w:t>
      </w:r>
      <w:r w:rsidR="009360A8" w:rsidRPr="005E0580">
        <w:rPr>
          <w:rFonts w:eastAsiaTheme="minorEastAsia"/>
          <w:spacing w:val="15"/>
        </w:rPr>
        <w:t>g</w:t>
      </w:r>
      <w:r w:rsidR="005E0580" w:rsidRPr="005E0580">
        <w:rPr>
          <w:rFonts w:eastAsiaTheme="minorEastAsia"/>
          <w:caps/>
          <w:spacing w:val="15"/>
        </w:rPr>
        <w:t>A Spike Seroassay Performance</w:t>
      </w:r>
    </w:p>
    <w:p w:rsidR="00420EC3" w:rsidRDefault="009360A8" w:rsidP="00514A07">
      <w:pPr>
        <w:rPr>
          <w:bCs/>
        </w:rPr>
      </w:pPr>
      <w:r>
        <w:rPr>
          <w:bCs/>
        </w:rPr>
        <w:br/>
      </w:r>
      <w:r w:rsidRPr="009360A8">
        <w:rPr>
          <w:bCs/>
        </w:rPr>
        <w:t>The Journal of Infectious Diseases</w:t>
      </w:r>
      <w:r>
        <w:rPr>
          <w:bCs/>
        </w:rPr>
        <w:t xml:space="preserve"> | 1</w:t>
      </w:r>
      <w:r w:rsidRPr="009360A8">
        <w:rPr>
          <w:bCs/>
          <w:vertAlign w:val="superscript"/>
        </w:rPr>
        <w:t>st</w:t>
      </w:r>
      <w:r>
        <w:rPr>
          <w:bCs/>
        </w:rPr>
        <w:t xml:space="preserve"> December 2020</w:t>
      </w:r>
    </w:p>
    <w:p w:rsidR="009360A8" w:rsidRDefault="009360A8" w:rsidP="009360A8">
      <w:pPr>
        <w:rPr>
          <w:bCs/>
        </w:rPr>
      </w:pPr>
      <w:r w:rsidRPr="009360A8">
        <w:rPr>
          <w:bCs/>
        </w:rPr>
        <w:t xml:space="preserve">Emergence of a new spike protein variant (D614G) with increased infectivity has prompted many to </w:t>
      </w:r>
      <w:proofErr w:type="spellStart"/>
      <w:r w:rsidRPr="009360A8">
        <w:rPr>
          <w:bCs/>
        </w:rPr>
        <w:t>analyze</w:t>
      </w:r>
      <w:proofErr w:type="spellEnd"/>
      <w:r w:rsidRPr="009360A8">
        <w:rPr>
          <w:bCs/>
        </w:rPr>
        <w:t xml:space="preserve"> its role in the SARS-CoV-2 pandemic. There is concern regarding whether an individual exposed to one variant of a virus will have cross-reactive memory to the second. </w:t>
      </w:r>
    </w:p>
    <w:p w:rsidR="009360A8" w:rsidRPr="009360A8" w:rsidRDefault="009360A8" w:rsidP="009360A8">
      <w:pPr>
        <w:rPr>
          <w:bCs/>
        </w:rPr>
      </w:pPr>
      <w:r>
        <w:rPr>
          <w:bCs/>
        </w:rPr>
        <w:t>Accordingly, this study</w:t>
      </w:r>
      <w:r w:rsidRPr="009360A8">
        <w:rPr>
          <w:bCs/>
        </w:rPr>
        <w:t xml:space="preserve"> </w:t>
      </w:r>
      <w:proofErr w:type="spellStart"/>
      <w:r w:rsidRPr="009360A8">
        <w:rPr>
          <w:bCs/>
        </w:rPr>
        <w:t>analyzed</w:t>
      </w:r>
      <w:proofErr w:type="spellEnd"/>
      <w:r w:rsidRPr="009360A8">
        <w:rPr>
          <w:bCs/>
        </w:rPr>
        <w:t xml:space="preserve"> the serologic reactivity of both variants, and found that antibodies from 88 donors from a high-incidence population reacted toward both the original spike and the D614 spike variant. These data suggest patients who are exposed to either variant have cross-responsive humoral immunity. This represents an important finding both for SARS-CoV-2 disease biology and for therapeutics.</w:t>
      </w:r>
    </w:p>
    <w:p w:rsidR="009360A8" w:rsidRDefault="009360A8" w:rsidP="00514A07">
      <w:pPr>
        <w:rPr>
          <w:bCs/>
        </w:rPr>
      </w:pPr>
      <w:r>
        <w:rPr>
          <w:bCs/>
        </w:rPr>
        <w:t xml:space="preserve">Full detail: </w:t>
      </w:r>
      <w:hyperlink r:id="rId7" w:history="1">
        <w:r w:rsidRPr="009360A8">
          <w:rPr>
            <w:rStyle w:val="Hyperlink"/>
            <w:bCs/>
          </w:rPr>
          <w:t xml:space="preserve">D614G Spike variant does not alter IgG, IgM, or IgA spike </w:t>
        </w:r>
        <w:proofErr w:type="spellStart"/>
        <w:r w:rsidRPr="009360A8">
          <w:rPr>
            <w:rStyle w:val="Hyperlink"/>
            <w:bCs/>
          </w:rPr>
          <w:t>seroassay</w:t>
        </w:r>
        <w:proofErr w:type="spellEnd"/>
        <w:r w:rsidRPr="009360A8">
          <w:rPr>
            <w:rStyle w:val="Hyperlink"/>
            <w:bCs/>
          </w:rPr>
          <w:t xml:space="preserve"> performance</w:t>
        </w:r>
      </w:hyperlink>
      <w:r w:rsidR="00932C07">
        <w:rPr>
          <w:bCs/>
        </w:rPr>
        <w:br/>
      </w: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8A3824" w:rsidRPr="008A3824">
        <w:rPr>
          <w:rFonts w:eastAsiaTheme="minorEastAsia"/>
          <w:caps/>
          <w:spacing w:val="15"/>
        </w:rPr>
        <w:t>Lung transplantation for patients with severe COVID-19</w:t>
      </w:r>
    </w:p>
    <w:p w:rsidR="00C338F2" w:rsidRDefault="008A3824" w:rsidP="00C338F2">
      <w:pPr>
        <w:rPr>
          <w:bCs/>
        </w:rPr>
      </w:pPr>
      <w:r>
        <w:rPr>
          <w:bCs/>
        </w:rPr>
        <w:br/>
        <w:t xml:space="preserve">Science Translational Medicine | </w:t>
      </w:r>
      <w:r w:rsidRPr="008A3824">
        <w:rPr>
          <w:bCs/>
        </w:rPr>
        <w:t>30</w:t>
      </w:r>
      <w:r w:rsidR="00AE24EB" w:rsidRPr="008A3824">
        <w:rPr>
          <w:bCs/>
          <w:vertAlign w:val="superscript"/>
        </w:rPr>
        <w:t>th</w:t>
      </w:r>
      <w:r w:rsidR="00AE24EB">
        <w:rPr>
          <w:bCs/>
        </w:rPr>
        <w:t xml:space="preserve"> </w:t>
      </w:r>
      <w:r w:rsidR="00AE24EB" w:rsidRPr="008A3824">
        <w:rPr>
          <w:bCs/>
        </w:rPr>
        <w:t>November</w:t>
      </w:r>
      <w:r w:rsidRPr="008A3824">
        <w:rPr>
          <w:bCs/>
        </w:rPr>
        <w:t xml:space="preserve"> 2020</w:t>
      </w:r>
    </w:p>
    <w:p w:rsidR="00AE24EB" w:rsidRDefault="00AE24EB" w:rsidP="00C338F2">
      <w:pPr>
        <w:rPr>
          <w:bCs/>
        </w:rPr>
      </w:pPr>
      <w:r>
        <w:rPr>
          <w:bCs/>
        </w:rPr>
        <w:t>The a</w:t>
      </w:r>
      <w:r w:rsidR="008A3824" w:rsidRPr="008A3824">
        <w:rPr>
          <w:bCs/>
        </w:rPr>
        <w:t xml:space="preserve">uthors report on lung transplantation in three patients with non-resolving COVID-19-associated respiratory failure, post-mortem lung biopsies from two patients dying from </w:t>
      </w:r>
      <w:r>
        <w:rPr>
          <w:bCs/>
        </w:rPr>
        <w:t xml:space="preserve">COVID-19-associated pneumonia. </w:t>
      </w:r>
      <w:r w:rsidR="008A3824" w:rsidRPr="008A3824">
        <w:rPr>
          <w:bCs/>
        </w:rPr>
        <w:t xml:space="preserve"> Lungs from these five patients with prolonged COVID-19 disease were free of SARS-CoV-2 but pathology showed extensive evidence of injury and fibrosis resembling end-stage pul</w:t>
      </w:r>
      <w:r>
        <w:rPr>
          <w:bCs/>
        </w:rPr>
        <w:t xml:space="preserve">monary fibrosis. </w:t>
      </w:r>
    </w:p>
    <w:p w:rsidR="00195BBF" w:rsidRDefault="008A3824" w:rsidP="00C338F2">
      <w:pPr>
        <w:rPr>
          <w:bCs/>
        </w:rPr>
      </w:pPr>
      <w:r w:rsidRPr="008A3824">
        <w:rPr>
          <w:bCs/>
        </w:rPr>
        <w:t>Findings suggest that some patients with severe COVID-19 develop fibrotic lung disease for which lung transplantation is their only option for survival.</w:t>
      </w:r>
    </w:p>
    <w:p w:rsidR="00AE24EB" w:rsidRPr="00EC0A36" w:rsidRDefault="00AE24EB" w:rsidP="00AE24EB">
      <w:pPr>
        <w:rPr>
          <w:color w:val="0000FF" w:themeColor="hyperlink"/>
          <w:u w:val="single"/>
        </w:rPr>
      </w:pPr>
      <w:r>
        <w:rPr>
          <w:bCs/>
        </w:rPr>
        <w:t xml:space="preserve">Full article: </w:t>
      </w:r>
      <w:hyperlink r:id="rId8" w:history="1">
        <w:r w:rsidRPr="00AE24EB">
          <w:rPr>
            <w:rStyle w:val="Hyperlink"/>
          </w:rPr>
          <w:t>Lung transplantation for patients with severe COVID-19</w:t>
        </w:r>
      </w:hyperlink>
      <w:hyperlink r:id="rId9" w:tgtFrame="_blank" w:history="1">
        <w:r w:rsidRPr="00AE24EB">
          <w:rPr>
            <w:rStyle w:val="Hyperlink"/>
            <w:bCs/>
          </w:rPr>
          <w:br/>
        </w:r>
      </w:hyperlink>
      <w:r w:rsidR="00EC0A36">
        <w:rPr>
          <w:rStyle w:val="Hyperlink"/>
          <w:bCs/>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sidR="00940B2F">
        <w:rPr>
          <w:rFonts w:eastAsiaTheme="minorEastAsia"/>
          <w:b/>
          <w:caps/>
          <w:spacing w:val="15"/>
        </w:rPr>
        <w:t xml:space="preserve">: </w:t>
      </w:r>
      <w:r w:rsidR="00940B2F" w:rsidRPr="00940B2F">
        <w:rPr>
          <w:rFonts w:eastAsiaTheme="minorEastAsia"/>
          <w:caps/>
          <w:spacing w:val="15"/>
        </w:rPr>
        <w:t>SARS-CoV-2 spike-protein D614G mutation increases virion spike density and infectivity</w:t>
      </w:r>
      <w:r w:rsidRPr="00887B4B">
        <w:rPr>
          <w:rFonts w:eastAsiaTheme="minorEastAsia"/>
          <w:caps/>
          <w:spacing w:val="15"/>
        </w:rPr>
        <w:t xml:space="preserve"> </w:t>
      </w:r>
    </w:p>
    <w:p w:rsidR="00887B4B" w:rsidRDefault="00940B2F" w:rsidP="00514A07">
      <w:pPr>
        <w:rPr>
          <w:bCs/>
        </w:rPr>
      </w:pPr>
      <w:r>
        <w:rPr>
          <w:bCs/>
        </w:rPr>
        <w:t>Nature Communications | 26</w:t>
      </w:r>
      <w:r w:rsidRPr="00940B2F">
        <w:rPr>
          <w:bCs/>
          <w:vertAlign w:val="superscript"/>
        </w:rPr>
        <w:t>th</w:t>
      </w:r>
      <w:r>
        <w:rPr>
          <w:bCs/>
        </w:rPr>
        <w:t xml:space="preserve"> November 2020</w:t>
      </w:r>
    </w:p>
    <w:p w:rsidR="00940B2F" w:rsidRPr="00940B2F" w:rsidRDefault="00940B2F" w:rsidP="00940B2F">
      <w:pPr>
        <w:rPr>
          <w:bCs/>
        </w:rPr>
      </w:pPr>
      <w:r w:rsidRPr="00940B2F">
        <w:rPr>
          <w:bCs/>
        </w:rPr>
        <w:t>The authors compare the properties of the mutated SARS-CoV-2 S protein which now</w:t>
      </w:r>
      <w:r>
        <w:rPr>
          <w:bCs/>
        </w:rPr>
        <w:t xml:space="preserve"> </w:t>
      </w:r>
      <w:r w:rsidRPr="00940B2F">
        <w:rPr>
          <w:bCs/>
        </w:rPr>
        <w:t>predominates globally (S(G614)) with the original (S(D614)).</w:t>
      </w:r>
    </w:p>
    <w:p w:rsidR="00940B2F" w:rsidRDefault="00940B2F" w:rsidP="00217C26">
      <w:pPr>
        <w:pStyle w:val="ListParagraph"/>
        <w:numPr>
          <w:ilvl w:val="0"/>
          <w:numId w:val="3"/>
        </w:numPr>
        <w:rPr>
          <w:bCs/>
        </w:rPr>
      </w:pPr>
      <w:r w:rsidRPr="00940B2F">
        <w:rPr>
          <w:bCs/>
        </w:rPr>
        <w:t xml:space="preserve">Reports that </w:t>
      </w:r>
      <w:proofErr w:type="spellStart"/>
      <w:r w:rsidRPr="00940B2F">
        <w:rPr>
          <w:bCs/>
        </w:rPr>
        <w:t>pseudoviruses</w:t>
      </w:r>
      <w:proofErr w:type="spellEnd"/>
      <w:r w:rsidRPr="00940B2F">
        <w:rPr>
          <w:bCs/>
        </w:rPr>
        <w:t xml:space="preserve"> carrying S(G614) enter ACE2-expressing cells more efficiently than those with S(D614), correlating with less S1-domain shedding and higher S-protein incorporation into the </w:t>
      </w:r>
      <w:proofErr w:type="spellStart"/>
      <w:r w:rsidRPr="00940B2F">
        <w:rPr>
          <w:bCs/>
        </w:rPr>
        <w:t>virion</w:t>
      </w:r>
      <w:proofErr w:type="spellEnd"/>
      <w:r w:rsidRPr="00940B2F">
        <w:rPr>
          <w:bCs/>
        </w:rPr>
        <w:t>.</w:t>
      </w:r>
    </w:p>
    <w:p w:rsidR="00940B2F" w:rsidRDefault="00940B2F" w:rsidP="00217C26">
      <w:pPr>
        <w:pStyle w:val="ListParagraph"/>
        <w:numPr>
          <w:ilvl w:val="0"/>
          <w:numId w:val="3"/>
        </w:numPr>
        <w:rPr>
          <w:bCs/>
        </w:rPr>
      </w:pPr>
      <w:r w:rsidRPr="00940B2F">
        <w:rPr>
          <w:bCs/>
        </w:rPr>
        <w:t>Similar results are obtained with virus-like particles produced with SARS-CoV-2 M, N, E, and S proteins.</w:t>
      </w:r>
    </w:p>
    <w:p w:rsidR="00940B2F" w:rsidRDefault="00940B2F" w:rsidP="00217C26">
      <w:pPr>
        <w:pStyle w:val="ListParagraph"/>
        <w:numPr>
          <w:ilvl w:val="0"/>
          <w:numId w:val="3"/>
        </w:numPr>
        <w:rPr>
          <w:bCs/>
        </w:rPr>
      </w:pPr>
      <w:r w:rsidRPr="00940B2F">
        <w:rPr>
          <w:bCs/>
        </w:rPr>
        <w:t xml:space="preserve">However, D614G does not alter S-protein binding to ACE2 or neutralization sensitivity of </w:t>
      </w:r>
      <w:proofErr w:type="spellStart"/>
      <w:r w:rsidRPr="00940B2F">
        <w:rPr>
          <w:bCs/>
        </w:rPr>
        <w:t>pseudoviruses</w:t>
      </w:r>
      <w:proofErr w:type="spellEnd"/>
      <w:r w:rsidRPr="00940B2F">
        <w:rPr>
          <w:bCs/>
        </w:rPr>
        <w:t xml:space="preserve">, suggesting D614G may increase infectivity by assembling more functional S protein into the </w:t>
      </w:r>
      <w:proofErr w:type="spellStart"/>
      <w:r w:rsidRPr="00940B2F">
        <w:rPr>
          <w:bCs/>
        </w:rPr>
        <w:t>virion</w:t>
      </w:r>
      <w:proofErr w:type="spellEnd"/>
      <w:r w:rsidRPr="00940B2F">
        <w:rPr>
          <w:bCs/>
        </w:rPr>
        <w:t>.</w:t>
      </w:r>
    </w:p>
    <w:p w:rsidR="0013740F" w:rsidRPr="0013740F" w:rsidRDefault="0013740F" w:rsidP="0013740F">
      <w:pPr>
        <w:rPr>
          <w:bCs/>
        </w:rPr>
      </w:pPr>
      <w:r>
        <w:rPr>
          <w:bCs/>
        </w:rPr>
        <w:t xml:space="preserve">Full detail: </w:t>
      </w:r>
      <w:hyperlink r:id="rId10" w:history="1">
        <w:r w:rsidRPr="0013740F">
          <w:rPr>
            <w:rStyle w:val="Hyperlink"/>
            <w:bCs/>
          </w:rPr>
          <w:t xml:space="preserve">SARS-CoV-2 spike-protein D614G mutation increases </w:t>
        </w:r>
        <w:proofErr w:type="spellStart"/>
        <w:r w:rsidRPr="0013740F">
          <w:rPr>
            <w:rStyle w:val="Hyperlink"/>
            <w:bCs/>
          </w:rPr>
          <w:t>virion</w:t>
        </w:r>
        <w:proofErr w:type="spellEnd"/>
        <w:r w:rsidRPr="0013740F">
          <w:rPr>
            <w:rStyle w:val="Hyperlink"/>
            <w:bCs/>
          </w:rPr>
          <w:t xml:space="preserve"> spike density and infectivity</w:t>
        </w:r>
      </w:hyperlink>
      <w:r w:rsidR="00932C07">
        <w:rPr>
          <w:bCs/>
        </w:rPr>
        <w:br/>
      </w: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EB4FD3" w:rsidRPr="00EB4FD3">
        <w:rPr>
          <w:rFonts w:eastAsiaTheme="minorEastAsia"/>
          <w:caps/>
          <w:spacing w:val="15"/>
        </w:rPr>
        <w:t>Cytokine Storm</w:t>
      </w:r>
    </w:p>
    <w:p w:rsidR="00887B4B" w:rsidRDefault="00EB4FD3" w:rsidP="00887B4B">
      <w:pPr>
        <w:rPr>
          <w:bCs/>
        </w:rPr>
      </w:pPr>
      <w:r>
        <w:rPr>
          <w:bCs/>
        </w:rPr>
        <w:t>New England Journal of Medicine | 3</w:t>
      </w:r>
      <w:r w:rsidRPr="00EB4FD3">
        <w:rPr>
          <w:bCs/>
          <w:vertAlign w:val="superscript"/>
        </w:rPr>
        <w:t>rd</w:t>
      </w:r>
      <w:r>
        <w:rPr>
          <w:bCs/>
        </w:rPr>
        <w:t xml:space="preserve"> December 2020</w:t>
      </w:r>
    </w:p>
    <w:p w:rsidR="008F5BEF" w:rsidRDefault="008F5BEF" w:rsidP="00887B4B">
      <w:pPr>
        <w:rPr>
          <w:bCs/>
        </w:rPr>
      </w:pPr>
      <w:r w:rsidRPr="008F5BEF">
        <w:rPr>
          <w:bCs/>
        </w:rPr>
        <w:t xml:space="preserve">Cytokine storm, a life-threatening disorder involving cytokine elevations and immune-cell </w:t>
      </w:r>
      <w:proofErr w:type="spellStart"/>
      <w:r w:rsidRPr="008F5BEF">
        <w:rPr>
          <w:bCs/>
        </w:rPr>
        <w:t>hyperactivation</w:t>
      </w:r>
      <w:proofErr w:type="spellEnd"/>
      <w:r w:rsidRPr="008F5BEF">
        <w:rPr>
          <w:bCs/>
        </w:rPr>
        <w:t xml:space="preserve">, has various causes and is characterized by constitutional symptoms, systemic inflammation, and </w:t>
      </w:r>
      <w:proofErr w:type="spellStart"/>
      <w:r w:rsidRPr="008F5BEF">
        <w:rPr>
          <w:bCs/>
        </w:rPr>
        <w:t>multiorgan</w:t>
      </w:r>
      <w:proofErr w:type="spellEnd"/>
      <w:r w:rsidRPr="008F5BEF">
        <w:rPr>
          <w:bCs/>
        </w:rPr>
        <w:t xml:space="preserve"> dysfunction. Selective interventions can ameliorate the illn</w:t>
      </w:r>
      <w:r>
        <w:rPr>
          <w:bCs/>
        </w:rPr>
        <w:t>ess.</w:t>
      </w:r>
      <w:r w:rsidR="00916F0F">
        <w:rPr>
          <w:bCs/>
        </w:rPr>
        <w:t xml:space="preserve"> </w:t>
      </w:r>
      <w:r>
        <w:rPr>
          <w:bCs/>
        </w:rPr>
        <w:t xml:space="preserve">This review includes a section looking at </w:t>
      </w:r>
      <w:r w:rsidRPr="008F5BEF">
        <w:rPr>
          <w:bCs/>
        </w:rPr>
        <w:t>Covid-19–Associated Cytokine Storm</w:t>
      </w:r>
      <w:r>
        <w:rPr>
          <w:bCs/>
        </w:rPr>
        <w:t>.</w:t>
      </w:r>
    </w:p>
    <w:p w:rsidR="008F5BEF" w:rsidRDefault="008F5BEF" w:rsidP="00887B4B">
      <w:pPr>
        <w:rPr>
          <w:bCs/>
        </w:rPr>
      </w:pPr>
      <w:r>
        <w:rPr>
          <w:bCs/>
        </w:rPr>
        <w:t xml:space="preserve">Full review: </w:t>
      </w:r>
      <w:hyperlink r:id="rId11" w:history="1">
        <w:r w:rsidRPr="008F5BEF">
          <w:rPr>
            <w:rStyle w:val="Hyperlink"/>
            <w:bCs/>
          </w:rPr>
          <w:t>Cytokine storm</w:t>
        </w:r>
      </w:hyperlink>
      <w:r w:rsidR="00916F0F">
        <w:rPr>
          <w:bCs/>
        </w:rPr>
        <w:br/>
      </w: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 xml:space="preserve">: </w:t>
      </w:r>
      <w:r w:rsidR="00916F0F" w:rsidRPr="00916F0F">
        <w:rPr>
          <w:rFonts w:eastAsiaTheme="minorEastAsia"/>
          <w:caps/>
          <w:spacing w:val="15"/>
        </w:rPr>
        <w:t>Repurposed Antiviral Drugs for Covid-19 — Interim WHO Solidarity Trial Results</w:t>
      </w:r>
    </w:p>
    <w:p w:rsidR="00916F0F" w:rsidRPr="00916F0F" w:rsidRDefault="00916F0F" w:rsidP="00916F0F">
      <w:pPr>
        <w:rPr>
          <w:bCs/>
        </w:rPr>
      </w:pPr>
      <w:r w:rsidRPr="00916F0F">
        <w:rPr>
          <w:bCs/>
        </w:rPr>
        <w:t>New England Journal of Medicine</w:t>
      </w:r>
      <w:r>
        <w:rPr>
          <w:bCs/>
        </w:rPr>
        <w:t xml:space="preserve"> | 2</w:t>
      </w:r>
      <w:r w:rsidRPr="00916F0F">
        <w:rPr>
          <w:bCs/>
          <w:vertAlign w:val="superscript"/>
        </w:rPr>
        <w:t>nd</w:t>
      </w:r>
      <w:r>
        <w:rPr>
          <w:bCs/>
        </w:rPr>
        <w:t xml:space="preserve"> </w:t>
      </w:r>
      <w:r w:rsidRPr="00916F0F">
        <w:rPr>
          <w:bCs/>
        </w:rPr>
        <w:t>December 2020</w:t>
      </w:r>
    </w:p>
    <w:p w:rsidR="008F5BEF" w:rsidRDefault="008F5BEF" w:rsidP="008F5BEF">
      <w:pPr>
        <w:rPr>
          <w:bCs/>
        </w:rPr>
      </w:pPr>
      <w:r w:rsidRPr="008F5BEF">
        <w:rPr>
          <w:bCs/>
        </w:rPr>
        <w:t xml:space="preserve">The authors report interim results of the WHO Solidarity trial of four repurposed antiviral drugs — </w:t>
      </w:r>
      <w:proofErr w:type="spellStart"/>
      <w:r w:rsidRPr="008F5BEF">
        <w:rPr>
          <w:bCs/>
        </w:rPr>
        <w:t>remdesivir</w:t>
      </w:r>
      <w:proofErr w:type="spellEnd"/>
      <w:r w:rsidRPr="008F5BEF">
        <w:rPr>
          <w:bCs/>
        </w:rPr>
        <w:t xml:space="preserve">, </w:t>
      </w:r>
      <w:proofErr w:type="spellStart"/>
      <w:r w:rsidRPr="008F5BEF">
        <w:rPr>
          <w:bCs/>
        </w:rPr>
        <w:t>hydroxychloroquine</w:t>
      </w:r>
      <w:proofErr w:type="spellEnd"/>
      <w:r w:rsidRPr="008F5BEF">
        <w:rPr>
          <w:bCs/>
        </w:rPr>
        <w:t xml:space="preserve">, </w:t>
      </w:r>
      <w:proofErr w:type="spellStart"/>
      <w:r w:rsidRPr="008F5BEF">
        <w:rPr>
          <w:bCs/>
        </w:rPr>
        <w:t>lopinavir</w:t>
      </w:r>
      <w:proofErr w:type="spellEnd"/>
      <w:r w:rsidRPr="008F5BEF">
        <w:rPr>
          <w:bCs/>
        </w:rPr>
        <w:t>, and interferon beta-1a — in patients hospitalized with Covid-19. Effects on overall mortality, initiation of ventilation, and duration of hospital stay are compared.</w:t>
      </w:r>
      <w:r w:rsidR="00916F0F">
        <w:rPr>
          <w:bCs/>
        </w:rPr>
        <w:t xml:space="preserve">  </w:t>
      </w:r>
      <w:r>
        <w:rPr>
          <w:bCs/>
        </w:rPr>
        <w:t>The study concludes that th</w:t>
      </w:r>
      <w:r w:rsidRPr="008F5BEF">
        <w:rPr>
          <w:bCs/>
        </w:rPr>
        <w:t xml:space="preserve">ese </w:t>
      </w:r>
      <w:proofErr w:type="spellStart"/>
      <w:r w:rsidRPr="008F5BEF">
        <w:rPr>
          <w:bCs/>
        </w:rPr>
        <w:t>remdesivir</w:t>
      </w:r>
      <w:proofErr w:type="spellEnd"/>
      <w:r w:rsidRPr="008F5BEF">
        <w:rPr>
          <w:bCs/>
        </w:rPr>
        <w:t xml:space="preserve">, </w:t>
      </w:r>
      <w:proofErr w:type="spellStart"/>
      <w:r w:rsidRPr="008F5BEF">
        <w:rPr>
          <w:bCs/>
        </w:rPr>
        <w:t>hydroxychloroquine</w:t>
      </w:r>
      <w:proofErr w:type="spellEnd"/>
      <w:r w:rsidRPr="008F5BEF">
        <w:rPr>
          <w:bCs/>
        </w:rPr>
        <w:t xml:space="preserve">, </w:t>
      </w:r>
      <w:proofErr w:type="spellStart"/>
      <w:r w:rsidRPr="008F5BEF">
        <w:rPr>
          <w:bCs/>
        </w:rPr>
        <w:t>lopinavir</w:t>
      </w:r>
      <w:proofErr w:type="spellEnd"/>
      <w:r w:rsidRPr="008F5BEF">
        <w:rPr>
          <w:bCs/>
        </w:rPr>
        <w:t>, and interferon regimens had little or no effect on hospitalized patients with Covid-19, as indicated by overall mortality, initiation of ventilation, and duration of hospital stay.</w:t>
      </w:r>
    </w:p>
    <w:p w:rsidR="00916F0F" w:rsidRDefault="00916F0F" w:rsidP="008F5BEF">
      <w:pPr>
        <w:rPr>
          <w:bCs/>
        </w:rPr>
      </w:pPr>
      <w:r>
        <w:rPr>
          <w:bCs/>
        </w:rPr>
        <w:t xml:space="preserve">Full paper: </w:t>
      </w:r>
      <w:hyperlink r:id="rId12" w:history="1">
        <w:r w:rsidRPr="00916F0F">
          <w:rPr>
            <w:rStyle w:val="Hyperlink"/>
            <w:bCs/>
          </w:rPr>
          <w:t>Repurposed antiviral drugs for Covid-19 — interim WHO solidarity trial results</w:t>
        </w:r>
      </w:hyperlink>
    </w:p>
    <w:p w:rsidR="00916F0F" w:rsidRDefault="00916F0F" w:rsidP="00916F0F">
      <w:r>
        <w:rPr>
          <w:bCs/>
        </w:rPr>
        <w:t xml:space="preserve">Related editorial: </w:t>
      </w:r>
      <w:hyperlink r:id="rId13" w:history="1">
        <w:r w:rsidRPr="00916F0F">
          <w:rPr>
            <w:rStyle w:val="Hyperlink"/>
          </w:rPr>
          <w:t>A large, simple trial leading to complex questions</w:t>
        </w:r>
      </w:hyperlink>
    </w:p>
    <w:p w:rsidR="00FE1DF9" w:rsidRPr="00916F0F" w:rsidRDefault="00FE1DF9" w:rsidP="00916F0F"/>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916F0F" w:rsidRPr="00916F0F">
        <w:rPr>
          <w:rFonts w:eastAsiaTheme="minorEastAsia"/>
          <w:caps/>
          <w:spacing w:val="15"/>
        </w:rPr>
        <w:t>Metformin and risk of mortality in patients hospitalised with COVID-19</w:t>
      </w:r>
    </w:p>
    <w:p w:rsidR="00265BB6" w:rsidRDefault="00265BB6" w:rsidP="00514A07">
      <w:pPr>
        <w:rPr>
          <w:bCs/>
        </w:rPr>
      </w:pPr>
      <w:r>
        <w:rPr>
          <w:bCs/>
        </w:rPr>
        <w:t>The Lancet Healthy Longevity | 3</w:t>
      </w:r>
      <w:r w:rsidRPr="00265BB6">
        <w:rPr>
          <w:bCs/>
          <w:vertAlign w:val="superscript"/>
        </w:rPr>
        <w:t>rd</w:t>
      </w:r>
      <w:r>
        <w:rPr>
          <w:bCs/>
        </w:rPr>
        <w:t xml:space="preserve"> December 2020</w:t>
      </w:r>
    </w:p>
    <w:p w:rsidR="00265BB6" w:rsidRDefault="00265BB6" w:rsidP="00265BB6">
      <w:pPr>
        <w:rPr>
          <w:bCs/>
        </w:rPr>
      </w:pPr>
      <w:r w:rsidRPr="00265BB6">
        <w:rPr>
          <w:bCs/>
        </w:rPr>
        <w:t>Type 2 diabetes and obesity, as states of chronic inflammation, are risk factors for severe COVID-19. Metformin has cytokine-reducing and sex-specif</w:t>
      </w:r>
      <w:r>
        <w:rPr>
          <w:bCs/>
        </w:rPr>
        <w:t xml:space="preserve">ic immunomodulatory effects. The aim of this </w:t>
      </w:r>
      <w:proofErr w:type="gramStart"/>
      <w:r>
        <w:rPr>
          <w:bCs/>
        </w:rPr>
        <w:t xml:space="preserve">study </w:t>
      </w:r>
      <w:r w:rsidRPr="00265BB6">
        <w:rPr>
          <w:bCs/>
        </w:rPr>
        <w:t xml:space="preserve"> was</w:t>
      </w:r>
      <w:proofErr w:type="gramEnd"/>
      <w:r w:rsidRPr="00265BB6">
        <w:rPr>
          <w:bCs/>
        </w:rPr>
        <w:t xml:space="preserve"> to identify whether metformin reduced COVID-19-related mortality and whether sex-specific interactions exist.</w:t>
      </w:r>
    </w:p>
    <w:p w:rsidR="00265BB6" w:rsidRPr="00265BB6" w:rsidRDefault="00265BB6" w:rsidP="00265BB6">
      <w:pPr>
        <w:rPr>
          <w:bCs/>
        </w:rPr>
      </w:pPr>
      <w:r>
        <w:rPr>
          <w:bCs/>
        </w:rPr>
        <w:t xml:space="preserve">The authors found that </w:t>
      </w:r>
      <w:r w:rsidRPr="00265BB6">
        <w:rPr>
          <w:bCs/>
        </w:rPr>
        <w:t>Metformin was significantly associated with reduced mortality in women with obesity or type 2 diabetes who were admitted to hospital for COVID-19. Prospective studies are needed to understand mechanism and causality. If findings are reproducible, metformin could be widely distributed for prevention of COVID-19 mortality, because it is safe and inexpensive.</w:t>
      </w:r>
    </w:p>
    <w:p w:rsidR="00265BB6" w:rsidRPr="00265BB6" w:rsidRDefault="00265BB6" w:rsidP="00265BB6">
      <w:pPr>
        <w:rPr>
          <w:bCs/>
        </w:rPr>
      </w:pPr>
      <w:r>
        <w:rPr>
          <w:bCs/>
        </w:rPr>
        <w:t xml:space="preserve">Full paper: </w:t>
      </w:r>
      <w:hyperlink r:id="rId14" w:history="1">
        <w:r w:rsidRPr="00265BB6">
          <w:rPr>
            <w:rStyle w:val="Hyperlink"/>
            <w:bCs/>
          </w:rPr>
          <w:t>Metformin and risk of mortality in patients hospitalised with COVID-19: a retrospective cohort analysis</w:t>
        </w:r>
      </w:hyperlink>
    </w:p>
    <w:p w:rsidR="00265BB6" w:rsidRPr="00265BB6" w:rsidRDefault="00265BB6" w:rsidP="00514A07">
      <w:pPr>
        <w:rPr>
          <w:bCs/>
        </w:rPr>
      </w:pPr>
      <w:r>
        <w:rPr>
          <w:bCs/>
        </w:rPr>
        <w:t xml:space="preserve">Related comment: </w:t>
      </w:r>
      <w:hyperlink r:id="rId15" w:history="1">
        <w:r w:rsidRPr="00265BB6">
          <w:rPr>
            <w:rStyle w:val="Hyperlink"/>
          </w:rPr>
          <w:t>Metformin: an inexpensive and effective treatment in people with diabetes and COVID-19?</w:t>
        </w:r>
      </w:hyperlink>
      <w:r w:rsidR="007A46A4">
        <w:br/>
      </w: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0048769C" w:rsidRPr="0048769C">
        <w:t xml:space="preserve"> </w:t>
      </w:r>
      <w:r w:rsidR="0048769C" w:rsidRPr="0048769C">
        <w:rPr>
          <w:rFonts w:eastAsiaTheme="minorEastAsia"/>
          <w:caps/>
          <w:spacing w:val="15"/>
        </w:rPr>
        <w:t>The lost lessons of Tamiflu</w:t>
      </w:r>
      <w:r w:rsidRPr="00D6477B">
        <w:rPr>
          <w:rFonts w:eastAsiaTheme="minorEastAsia"/>
          <w:caps/>
          <w:spacing w:val="15"/>
        </w:rPr>
        <w:t xml:space="preserve"> </w:t>
      </w:r>
      <w:bookmarkEnd w:id="1"/>
    </w:p>
    <w:p w:rsidR="00581729" w:rsidRDefault="0048769C" w:rsidP="007A46A4">
      <w:pPr>
        <w:spacing w:before="200"/>
        <w:rPr>
          <w:rFonts w:eastAsiaTheme="minorEastAsia"/>
          <w:bCs/>
        </w:rPr>
      </w:pPr>
      <w:r>
        <w:rPr>
          <w:rFonts w:eastAsiaTheme="minorEastAsia"/>
          <w:bCs/>
        </w:rPr>
        <w:t xml:space="preserve">BMJ | </w:t>
      </w:r>
      <w:r w:rsidR="007A46A4" w:rsidRPr="007A46A4">
        <w:rPr>
          <w:rFonts w:eastAsiaTheme="minorEastAsia"/>
          <w:bCs/>
        </w:rPr>
        <w:t>2020;</w:t>
      </w:r>
      <w:r w:rsidR="007A46A4">
        <w:rPr>
          <w:rFonts w:eastAsiaTheme="minorEastAsia"/>
          <w:bCs/>
        </w:rPr>
        <w:t xml:space="preserve"> </w:t>
      </w:r>
      <w:r w:rsidR="007A46A4" w:rsidRPr="007A46A4">
        <w:rPr>
          <w:rFonts w:eastAsiaTheme="minorEastAsia"/>
          <w:bCs/>
        </w:rPr>
        <w:t>371:</w:t>
      </w:r>
      <w:r w:rsidR="007A46A4">
        <w:rPr>
          <w:rFonts w:eastAsiaTheme="minorEastAsia"/>
          <w:bCs/>
        </w:rPr>
        <w:t xml:space="preserve"> </w:t>
      </w:r>
      <w:r w:rsidR="007A46A4" w:rsidRPr="007A46A4">
        <w:rPr>
          <w:rFonts w:eastAsiaTheme="minorEastAsia"/>
          <w:bCs/>
        </w:rPr>
        <w:t>m4701</w:t>
      </w:r>
      <w:r w:rsidR="007A46A4">
        <w:rPr>
          <w:rFonts w:eastAsiaTheme="minorEastAsia"/>
          <w:bCs/>
        </w:rPr>
        <w:t xml:space="preserve"> | 3</w:t>
      </w:r>
      <w:r w:rsidR="007A46A4" w:rsidRPr="007A46A4">
        <w:rPr>
          <w:rFonts w:eastAsiaTheme="minorEastAsia"/>
          <w:bCs/>
          <w:vertAlign w:val="superscript"/>
        </w:rPr>
        <w:t>rd</w:t>
      </w:r>
      <w:r w:rsidR="007A46A4">
        <w:rPr>
          <w:rFonts w:eastAsiaTheme="minorEastAsia"/>
          <w:bCs/>
        </w:rPr>
        <w:t xml:space="preserve"> December 2020</w:t>
      </w:r>
    </w:p>
    <w:p w:rsidR="007A46A4" w:rsidRPr="007A46A4" w:rsidRDefault="007A46A4" w:rsidP="007A46A4">
      <w:pPr>
        <w:spacing w:before="200"/>
        <w:rPr>
          <w:rFonts w:eastAsiaTheme="minorEastAsia"/>
          <w:bCs/>
        </w:rPr>
      </w:pPr>
      <w:r>
        <w:rPr>
          <w:rFonts w:eastAsiaTheme="minorEastAsia"/>
          <w:bCs/>
        </w:rPr>
        <w:t>This editorial states that t</w:t>
      </w:r>
      <w:r w:rsidRPr="007A46A4">
        <w:rPr>
          <w:rFonts w:eastAsiaTheme="minorEastAsia"/>
          <w:bCs/>
        </w:rPr>
        <w:t>he history of the covid-19 pandemic will be strewn not only with lost lives and livelihoods but with the bloated carcasses of treatments hyped and bought at great expense, only to be found wanting.</w:t>
      </w:r>
    </w:p>
    <w:p w:rsidR="007A46A4" w:rsidRPr="007A46A4" w:rsidRDefault="007A46A4" w:rsidP="007A46A4">
      <w:pPr>
        <w:spacing w:before="200"/>
        <w:rPr>
          <w:rFonts w:eastAsiaTheme="minorEastAsia"/>
          <w:bCs/>
        </w:rPr>
      </w:pPr>
      <w:r w:rsidRPr="007A46A4">
        <w:rPr>
          <w:rFonts w:eastAsiaTheme="minorEastAsia"/>
          <w:bCs/>
        </w:rPr>
        <w:t xml:space="preserve">How one such treatment reached its costly prominence, despite the already available evidence of its inadequacies, stands as a cautionary tale. It also shows how little or how slowly we learn. The </w:t>
      </w:r>
      <w:proofErr w:type="spellStart"/>
      <w:r w:rsidRPr="007A46A4">
        <w:rPr>
          <w:rFonts w:eastAsiaTheme="minorEastAsia"/>
          <w:bCs/>
        </w:rPr>
        <w:t>remdesivir</w:t>
      </w:r>
      <w:proofErr w:type="spellEnd"/>
      <w:r w:rsidRPr="007A46A4">
        <w:rPr>
          <w:rFonts w:eastAsiaTheme="minorEastAsia"/>
          <w:bCs/>
        </w:rPr>
        <w:t xml:space="preserve"> story shares many common features with the saga of Tamiflu (</w:t>
      </w:r>
      <w:proofErr w:type="spellStart"/>
      <w:r w:rsidRPr="007A46A4">
        <w:rPr>
          <w:rFonts w:eastAsiaTheme="minorEastAsia"/>
          <w:bCs/>
        </w:rPr>
        <w:t>oseltamivir</w:t>
      </w:r>
      <w:proofErr w:type="spellEnd"/>
      <w:r w:rsidRPr="007A46A4">
        <w:rPr>
          <w:rFonts w:eastAsiaTheme="minorEastAsia"/>
          <w:bCs/>
        </w:rPr>
        <w:t>), the drug that cost the world billions of dollars during the 2009 swine flu pandemic. Both drugs had failed in earlier settings. At the start of the pandemics both were hyped on limited, poor quality research, mainly funded by drug companies. Both were bought in large amounts by governments without data to back up their purchase. Both have harms that have been inadequately researched and reported</w:t>
      </w:r>
      <w:r>
        <w:rPr>
          <w:rFonts w:eastAsiaTheme="minorEastAsia"/>
          <w:bCs/>
        </w:rPr>
        <w:t>.</w:t>
      </w:r>
    </w:p>
    <w:p w:rsidR="00FE1DF9" w:rsidRDefault="007A46A4" w:rsidP="007A46A4">
      <w:pPr>
        <w:spacing w:before="200"/>
        <w:rPr>
          <w:rFonts w:eastAsiaTheme="minorEastAsia"/>
          <w:bCs/>
        </w:rPr>
      </w:pPr>
      <w:r>
        <w:rPr>
          <w:rFonts w:eastAsiaTheme="minorEastAsia"/>
          <w:bCs/>
        </w:rPr>
        <w:t xml:space="preserve">Full editorial: </w:t>
      </w:r>
      <w:hyperlink r:id="rId16" w:history="1">
        <w:r w:rsidRPr="007A46A4">
          <w:rPr>
            <w:rStyle w:val="Hyperlink"/>
            <w:rFonts w:eastAsiaTheme="minorEastAsia"/>
            <w:bCs/>
          </w:rPr>
          <w:t>The lost lessons of Tamiflu</w:t>
        </w:r>
      </w:hyperlink>
    </w:p>
    <w:p w:rsidR="007A46A4" w:rsidRPr="007A46A4" w:rsidRDefault="00E60AD2" w:rsidP="007A46A4">
      <w:pPr>
        <w:spacing w:before="200"/>
        <w:rPr>
          <w:rFonts w:eastAsiaTheme="minorEastAsia"/>
          <w:bCs/>
        </w:rPr>
      </w:pPr>
      <w:r>
        <w:rPr>
          <w:rFonts w:eastAsiaTheme="minorEastAsia"/>
          <w:bCs/>
        </w:rPr>
        <w:br/>
      </w:r>
    </w:p>
    <w:p w:rsidR="00581729" w:rsidRDefault="00581729"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E60AD2" w:rsidRPr="00E60AD2">
        <w:rPr>
          <w:rFonts w:eastAsiaTheme="minorEastAsia"/>
          <w:caps/>
          <w:spacing w:val="15"/>
        </w:rPr>
        <w:t>The dynamic association between COVID-19 and chronic disorders: An updated insight into prevalence mechanism and therapeutic modalities</w:t>
      </w:r>
    </w:p>
    <w:p w:rsidR="00E60AD2" w:rsidRDefault="00E60AD2" w:rsidP="00581729">
      <w:pPr>
        <w:spacing w:before="200"/>
        <w:rPr>
          <w:rFonts w:eastAsiaTheme="minorEastAsia"/>
          <w:bCs/>
        </w:rPr>
      </w:pPr>
      <w:r w:rsidRPr="00E60AD2">
        <w:rPr>
          <w:rFonts w:eastAsiaTheme="minorEastAsia"/>
          <w:bCs/>
        </w:rPr>
        <w:t xml:space="preserve">Infection, Genetics and Evolution </w:t>
      </w:r>
      <w:r>
        <w:rPr>
          <w:rFonts w:eastAsiaTheme="minorEastAsia"/>
          <w:bCs/>
        </w:rPr>
        <w:t>|</w:t>
      </w:r>
      <w:r w:rsidRPr="00E60AD2">
        <w:rPr>
          <w:rFonts w:eastAsiaTheme="minorEastAsia"/>
          <w:bCs/>
        </w:rPr>
        <w:t xml:space="preserve"> November 29</w:t>
      </w:r>
      <w:r w:rsidRPr="00E60AD2">
        <w:rPr>
          <w:rFonts w:eastAsiaTheme="minorEastAsia"/>
          <w:bCs/>
          <w:vertAlign w:val="superscript"/>
        </w:rPr>
        <w:t>th</w:t>
      </w:r>
      <w:r>
        <w:rPr>
          <w:rFonts w:eastAsiaTheme="minorEastAsia"/>
          <w:bCs/>
        </w:rPr>
        <w:t xml:space="preserve"> 2020</w:t>
      </w:r>
    </w:p>
    <w:p w:rsidR="00E60AD2" w:rsidRDefault="00E60AD2" w:rsidP="00581729">
      <w:pPr>
        <w:spacing w:before="200"/>
        <w:rPr>
          <w:rFonts w:eastAsiaTheme="minorEastAsia"/>
          <w:bCs/>
        </w:rPr>
      </w:pPr>
      <w:r>
        <w:rPr>
          <w:rFonts w:eastAsiaTheme="minorEastAsia"/>
          <w:bCs/>
        </w:rPr>
        <w:t>U</w:t>
      </w:r>
      <w:r w:rsidRPr="00E60AD2">
        <w:rPr>
          <w:rFonts w:eastAsiaTheme="minorEastAsia"/>
          <w:bCs/>
        </w:rPr>
        <w:t>nderstanding the interlinked relationship between COVID-19 and chronic diseases helps in optimizing the management of susceptible patients. </w:t>
      </w:r>
    </w:p>
    <w:p w:rsidR="00581729" w:rsidRDefault="00E60AD2" w:rsidP="00581729">
      <w:pPr>
        <w:spacing w:before="200"/>
        <w:rPr>
          <w:rFonts w:eastAsiaTheme="minorEastAsia"/>
          <w:bCs/>
        </w:rPr>
      </w:pPr>
      <w:r w:rsidRPr="00E60AD2">
        <w:rPr>
          <w:rFonts w:eastAsiaTheme="minorEastAsia"/>
          <w:bCs/>
        </w:rPr>
        <w:t xml:space="preserve">This </w:t>
      </w:r>
      <w:r>
        <w:rPr>
          <w:rFonts w:eastAsiaTheme="minorEastAsia"/>
          <w:bCs/>
        </w:rPr>
        <w:t>review comprehensively describes</w:t>
      </w:r>
      <w:r w:rsidRPr="00E60AD2">
        <w:rPr>
          <w:rFonts w:eastAsiaTheme="minorEastAsia"/>
          <w:bCs/>
        </w:rPr>
        <w:t xml:space="preserve"> the molecular mechanisms that contribute to worse COVID-19 prognosis in patients with pre-existing comorbidities such as diabetes, cardiovascular diseases, respiratory diseases, gastrointestinal and renal diseases, blood disorders, autoimmune diseases and finally, obesity. It also focused on how COVID-19 could, in some cases, lead to chronic conditions as a result of long-term multi-organ damage. Lastly, this work carefully discusses the tailored management plans for each specific patient population, aiming to achieve the best therapeutic outcome with minimum complications.</w:t>
      </w:r>
    </w:p>
    <w:p w:rsidR="00E60AD2" w:rsidRDefault="00E60AD2" w:rsidP="00581729">
      <w:pPr>
        <w:spacing w:before="200"/>
        <w:rPr>
          <w:rFonts w:eastAsiaTheme="minorEastAsia"/>
          <w:bCs/>
        </w:rPr>
      </w:pPr>
      <w:r>
        <w:rPr>
          <w:rFonts w:eastAsiaTheme="minorEastAsia"/>
          <w:bCs/>
        </w:rPr>
        <w:t xml:space="preserve">Full article: </w:t>
      </w:r>
      <w:hyperlink r:id="rId17" w:history="1">
        <w:r w:rsidRPr="00E60AD2">
          <w:rPr>
            <w:rStyle w:val="Hyperlink"/>
            <w:rFonts w:eastAsiaTheme="minorEastAsia"/>
            <w:bCs/>
          </w:rPr>
          <w:t>The dynamic association between COVID-19 and chronic disorders: An updated insight into prevalence mechanism and therapeutic modalities</w:t>
        </w:r>
      </w:hyperlink>
      <w:r>
        <w:rPr>
          <w:rFonts w:eastAsiaTheme="minorEastAsia"/>
          <w:bCs/>
        </w:rPr>
        <w:br/>
      </w:r>
    </w:p>
    <w:p w:rsidR="00265BB6" w:rsidRDefault="00265BB6"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D153E6" w:rsidRPr="00D153E6" w:rsidRDefault="00D153E6" w:rsidP="00D153E6">
      <w:pPr>
        <w:pBdr>
          <w:top w:val="single" w:sz="6" w:space="2" w:color="D4802C"/>
          <w:left w:val="single" w:sz="6" w:space="2" w:color="D4802C"/>
        </w:pBdr>
        <w:spacing w:before="300" w:after="0"/>
        <w:outlineLvl w:val="2"/>
        <w:rPr>
          <w:rFonts w:eastAsiaTheme="minorEastAsia"/>
        </w:rPr>
      </w:pPr>
      <w:r w:rsidRPr="00D153E6">
        <w:rPr>
          <w:rFonts w:eastAsiaTheme="minorEastAsia"/>
          <w:b/>
          <w:caps/>
          <w:spacing w:val="15"/>
        </w:rPr>
        <w:t xml:space="preserve">Title: </w:t>
      </w:r>
      <w:r w:rsidRPr="00D153E6">
        <w:rPr>
          <w:rFonts w:eastAsiaTheme="minorEastAsia"/>
          <w:caps/>
          <w:spacing w:val="15"/>
        </w:rPr>
        <w:t xml:space="preserve">The All Party Parliamentary Group on Coronavirus Interim Report </w:t>
      </w:r>
    </w:p>
    <w:p w:rsidR="00D153E6" w:rsidRPr="00D153E6" w:rsidRDefault="00D153E6" w:rsidP="00D153E6">
      <w:pPr>
        <w:spacing w:before="200"/>
        <w:rPr>
          <w:rFonts w:eastAsiaTheme="minorEastAsia"/>
        </w:rPr>
      </w:pPr>
      <w:r w:rsidRPr="00D153E6">
        <w:rPr>
          <w:rFonts w:eastAsiaTheme="minorEastAsia"/>
        </w:rPr>
        <w:t>The All Party Parliamentary Group on Coronavirus | December 2020</w:t>
      </w:r>
    </w:p>
    <w:p w:rsidR="00D153E6" w:rsidRPr="00D153E6" w:rsidRDefault="00D153E6" w:rsidP="00D153E6">
      <w:pPr>
        <w:spacing w:before="200"/>
        <w:rPr>
          <w:rFonts w:eastAsiaTheme="minorEastAsia"/>
        </w:rPr>
      </w:pPr>
      <w:r w:rsidRPr="00D153E6">
        <w:rPr>
          <w:rFonts w:eastAsiaTheme="minorEastAsia"/>
        </w:rPr>
        <w:t xml:space="preserve">The UK is currently experiencing a second wave of Covid-19. After listening to experts, frontline workers and organisations representing some of those most affected by Covid-19, the APPG believes that there are measures that the UK government can implement to reduce the impact of the pandemic. </w:t>
      </w:r>
    </w:p>
    <w:p w:rsidR="00D153E6" w:rsidRPr="00D153E6" w:rsidRDefault="00D153E6" w:rsidP="00D153E6">
      <w:pPr>
        <w:spacing w:before="200"/>
        <w:rPr>
          <w:rFonts w:eastAsiaTheme="minorEastAsia"/>
        </w:rPr>
      </w:pPr>
      <w:r w:rsidRPr="00D153E6">
        <w:rPr>
          <w:rFonts w:eastAsiaTheme="minorEastAsia"/>
        </w:rPr>
        <w:t>By providing better protection and support to those most affected, by empowering local authorities to assist in the management of the crisis, by recognising and mitigating against the unequal impact that Covid-19 has had on our society, we can reduce the scars of Covid-19, thereby helping us to come out of this period more united and more resilient.  The report contains 71 key findings and 41 recommendations.</w:t>
      </w:r>
    </w:p>
    <w:p w:rsidR="00FE1DF9" w:rsidRDefault="00D153E6" w:rsidP="00D153E6">
      <w:pPr>
        <w:spacing w:before="200"/>
        <w:rPr>
          <w:rFonts w:eastAsiaTheme="minorEastAsia"/>
        </w:rPr>
      </w:pPr>
      <w:r w:rsidRPr="00D153E6">
        <w:rPr>
          <w:rFonts w:eastAsiaTheme="minorEastAsia"/>
        </w:rPr>
        <w:t xml:space="preserve">Full report: </w:t>
      </w:r>
      <w:hyperlink r:id="rId18" w:history="1">
        <w:r w:rsidRPr="00D153E6">
          <w:rPr>
            <w:rFonts w:eastAsiaTheme="minorEastAsia"/>
            <w:color w:val="0000FF" w:themeColor="hyperlink"/>
            <w:u w:val="single"/>
          </w:rPr>
          <w:t>The All Party Parliamentary Group on Coronavirus Interim Report December 2020</w:t>
        </w:r>
      </w:hyperlink>
    </w:p>
    <w:p w:rsidR="00D153E6" w:rsidRPr="00D153E6" w:rsidRDefault="00D153E6" w:rsidP="00D153E6">
      <w:pPr>
        <w:spacing w:before="200"/>
        <w:rPr>
          <w:rFonts w:eastAsiaTheme="minorEastAsia"/>
        </w:rPr>
      </w:pPr>
      <w:r>
        <w:rPr>
          <w:rFonts w:eastAsiaTheme="minorEastAsia"/>
        </w:rPr>
        <w:br/>
      </w:r>
    </w:p>
    <w:p w:rsidR="00740B84" w:rsidRPr="00740B84" w:rsidRDefault="00740B84" w:rsidP="00740B84">
      <w:pPr>
        <w:pBdr>
          <w:top w:val="single" w:sz="6" w:space="2" w:color="D4802C"/>
          <w:left w:val="single" w:sz="6" w:space="2" w:color="D4802C"/>
        </w:pBdr>
        <w:spacing w:before="300"/>
        <w:outlineLvl w:val="2"/>
        <w:rPr>
          <w:rFonts w:eastAsiaTheme="minorEastAsia"/>
        </w:rPr>
      </w:pPr>
      <w:r w:rsidRPr="00740B84">
        <w:rPr>
          <w:rFonts w:eastAsiaTheme="minorEastAsia"/>
          <w:b/>
          <w:caps/>
          <w:spacing w:val="15"/>
        </w:rPr>
        <w:t xml:space="preserve">title: </w:t>
      </w:r>
      <w:r w:rsidRPr="00740B84">
        <w:rPr>
          <w:rFonts w:eastAsiaTheme="minorEastAsia"/>
          <w:caps/>
          <w:spacing w:val="15"/>
        </w:rPr>
        <w:t>The health, economic and social effects of COVID-19 and the tiered approach</w:t>
      </w:r>
    </w:p>
    <w:p w:rsidR="00740B84" w:rsidRPr="00740B84" w:rsidRDefault="00740B84" w:rsidP="00740B84">
      <w:pPr>
        <w:spacing w:before="200"/>
        <w:rPr>
          <w:rFonts w:eastAsiaTheme="minorEastAsia"/>
        </w:rPr>
      </w:pPr>
      <w:r w:rsidRPr="00740B84">
        <w:rPr>
          <w:rFonts w:eastAsiaTheme="minorEastAsia"/>
        </w:rPr>
        <w:t>Department of Health and Social Care | 30</w:t>
      </w:r>
      <w:r w:rsidRPr="00740B84">
        <w:rPr>
          <w:rFonts w:eastAsiaTheme="minorEastAsia"/>
          <w:vertAlign w:val="superscript"/>
        </w:rPr>
        <w:t>th</w:t>
      </w:r>
      <w:r w:rsidRPr="00740B84">
        <w:rPr>
          <w:rFonts w:eastAsiaTheme="minorEastAsia"/>
        </w:rPr>
        <w:t xml:space="preserve"> November 2020</w:t>
      </w:r>
    </w:p>
    <w:p w:rsidR="00740B84" w:rsidRPr="00740B84" w:rsidRDefault="00740B84" w:rsidP="00740B84">
      <w:pPr>
        <w:spacing w:before="200"/>
        <w:rPr>
          <w:rFonts w:eastAsiaTheme="minorEastAsia"/>
        </w:rPr>
      </w:pPr>
      <w:r w:rsidRPr="00740B84">
        <w:rPr>
          <w:rFonts w:eastAsiaTheme="minorEastAsia"/>
        </w:rPr>
        <w:t>This paper provides an overview of the evidence and analysis in relation to coronavirus and the health, economic and social effects of the government’s tiered approach.</w:t>
      </w:r>
    </w:p>
    <w:p w:rsidR="00740B84" w:rsidRPr="00740B84" w:rsidRDefault="00740B84" w:rsidP="00740B84">
      <w:pPr>
        <w:spacing w:before="200"/>
        <w:rPr>
          <w:rFonts w:eastAsiaTheme="minorEastAsia"/>
        </w:rPr>
      </w:pPr>
      <w:r w:rsidRPr="00740B84">
        <w:rPr>
          <w:rFonts w:eastAsiaTheme="minorEastAsia"/>
        </w:rPr>
        <w:t xml:space="preserve">Full detail: </w:t>
      </w:r>
      <w:hyperlink r:id="rId19" w:history="1">
        <w:r w:rsidRPr="00740B84">
          <w:rPr>
            <w:rFonts w:eastAsiaTheme="minorEastAsia"/>
            <w:color w:val="0000FF" w:themeColor="hyperlink"/>
            <w:u w:val="single"/>
          </w:rPr>
          <w:t xml:space="preserve">Analysis of the health, economic and social effects of COVID-19 and the approach to </w:t>
        </w:r>
        <w:proofErr w:type="spellStart"/>
        <w:r w:rsidRPr="00740B84">
          <w:rPr>
            <w:rFonts w:eastAsiaTheme="minorEastAsia"/>
            <w:color w:val="0000FF" w:themeColor="hyperlink"/>
            <w:u w:val="single"/>
          </w:rPr>
          <w:t>tiering</w:t>
        </w:r>
        <w:proofErr w:type="spellEnd"/>
      </w:hyperlink>
      <w:r w:rsidR="00BB2352">
        <w:rPr>
          <w:rFonts w:eastAsiaTheme="minorEastAsia"/>
          <w:color w:val="0000FF" w:themeColor="hyperlink"/>
          <w:u w:val="single"/>
        </w:rPr>
        <w:br/>
      </w:r>
    </w:p>
    <w:p w:rsidR="00BB2352" w:rsidRPr="00BB2352" w:rsidRDefault="00BB2352" w:rsidP="00BB2352">
      <w:pPr>
        <w:pBdr>
          <w:top w:val="single" w:sz="6" w:space="2" w:color="D4802C"/>
          <w:left w:val="single" w:sz="6" w:space="2" w:color="D4802C"/>
        </w:pBdr>
        <w:spacing w:before="300" w:after="0"/>
        <w:outlineLvl w:val="2"/>
        <w:rPr>
          <w:rFonts w:eastAsiaTheme="minorEastAsia"/>
        </w:rPr>
      </w:pPr>
      <w:r w:rsidRPr="00BB2352">
        <w:rPr>
          <w:rFonts w:eastAsiaTheme="minorEastAsia"/>
          <w:b/>
          <w:caps/>
          <w:spacing w:val="15"/>
        </w:rPr>
        <w:t xml:space="preserve">Title: </w:t>
      </w:r>
      <w:r w:rsidRPr="00BB2352">
        <w:rPr>
          <w:rFonts w:eastAsiaTheme="minorEastAsia"/>
          <w:caps/>
          <w:spacing w:val="15"/>
        </w:rPr>
        <w:t>Community testing to help lift restrictions in highest tiers</w:t>
      </w:r>
    </w:p>
    <w:p w:rsidR="00BB2352" w:rsidRPr="00BB2352" w:rsidRDefault="00BB2352" w:rsidP="00BB2352">
      <w:pPr>
        <w:spacing w:before="200"/>
        <w:rPr>
          <w:rFonts w:eastAsiaTheme="minorEastAsia"/>
        </w:rPr>
      </w:pPr>
      <w:r w:rsidRPr="00BB2352">
        <w:rPr>
          <w:rFonts w:eastAsiaTheme="minorEastAsia"/>
        </w:rPr>
        <w:t>Department of Health and Social Care | 30</w:t>
      </w:r>
      <w:r w:rsidRPr="00BB2352">
        <w:rPr>
          <w:rFonts w:eastAsiaTheme="minorEastAsia"/>
          <w:vertAlign w:val="superscript"/>
        </w:rPr>
        <w:t>th</w:t>
      </w:r>
      <w:r w:rsidRPr="00BB2352">
        <w:rPr>
          <w:rFonts w:eastAsiaTheme="minorEastAsia"/>
        </w:rPr>
        <w:t xml:space="preserve"> November 2020</w:t>
      </w:r>
    </w:p>
    <w:p w:rsidR="00BB2352" w:rsidRPr="00BB2352" w:rsidRDefault="00BB2352" w:rsidP="00BB2352">
      <w:pPr>
        <w:spacing w:before="200"/>
        <w:rPr>
          <w:rFonts w:eastAsiaTheme="minorEastAsia"/>
        </w:rPr>
      </w:pPr>
      <w:r w:rsidRPr="00BB2352">
        <w:rPr>
          <w:rFonts w:eastAsiaTheme="minorEastAsia"/>
        </w:rPr>
        <w:t>Details of a new community testing offer have been set out by the Government to help local areas detect asymptomatic cases, suppress the virus and offer a route out of the toughest restrictions.</w:t>
      </w:r>
    </w:p>
    <w:p w:rsidR="00BB2352" w:rsidRPr="00BB2352" w:rsidRDefault="00BB2352" w:rsidP="00BB2352">
      <w:pPr>
        <w:spacing w:before="200"/>
        <w:rPr>
          <w:rFonts w:eastAsiaTheme="minorEastAsia"/>
        </w:rPr>
      </w:pPr>
      <w:r w:rsidRPr="00BB2352">
        <w:rPr>
          <w:rFonts w:eastAsiaTheme="minorEastAsia"/>
        </w:rPr>
        <w:t>Local authorities will determine the best way to focus testing, suppress the virus and ensure their communities benefit, with potential models including whole population testing of all non-symptomatic individuals over 11 years old, testing targeted on specific geographic areas, such as those with high prevalence, or highly targeted testing on specific locations, employment sectors, or workplaces where there is a high risk.</w:t>
      </w:r>
    </w:p>
    <w:p w:rsidR="00BB2352" w:rsidRPr="00BB2352" w:rsidRDefault="00BB2352" w:rsidP="00BB2352">
      <w:pPr>
        <w:spacing w:before="200"/>
        <w:rPr>
          <w:rFonts w:eastAsiaTheme="minorEastAsia"/>
        </w:rPr>
      </w:pPr>
      <w:r w:rsidRPr="00BB2352">
        <w:rPr>
          <w:rFonts w:eastAsiaTheme="minorEastAsia"/>
        </w:rPr>
        <w:t xml:space="preserve">Local Directors of Public Health will be supported to develop approaches that work for their community, backed by national support and funding. Central government will provide operational support for the design and delivery of community testing programmes, and funding available to local authorities will be estimated based on the number of tests they aim to deliver over the </w:t>
      </w:r>
      <w:proofErr w:type="gramStart"/>
      <w:r w:rsidRPr="00BB2352">
        <w:rPr>
          <w:rFonts w:eastAsiaTheme="minorEastAsia"/>
        </w:rPr>
        <w:t>6 week</w:t>
      </w:r>
      <w:proofErr w:type="gramEnd"/>
      <w:r w:rsidRPr="00BB2352">
        <w:rPr>
          <w:rFonts w:eastAsiaTheme="minorEastAsia"/>
        </w:rPr>
        <w:t xml:space="preserve"> programme.</w:t>
      </w:r>
    </w:p>
    <w:p w:rsidR="00740B84" w:rsidRDefault="00BB2352" w:rsidP="00BB2352">
      <w:pPr>
        <w:spacing w:before="200"/>
        <w:rPr>
          <w:rFonts w:eastAsiaTheme="minorEastAsia"/>
        </w:rPr>
      </w:pPr>
      <w:r w:rsidRPr="00BB2352">
        <w:rPr>
          <w:rFonts w:eastAsiaTheme="minorEastAsia"/>
        </w:rPr>
        <w:t xml:space="preserve">Full detail: </w:t>
      </w:r>
      <w:hyperlink r:id="rId20" w:history="1">
        <w:r w:rsidRPr="00BB2352">
          <w:rPr>
            <w:rFonts w:eastAsiaTheme="minorEastAsia"/>
            <w:color w:val="0000FF" w:themeColor="hyperlink"/>
            <w:u w:val="single"/>
          </w:rPr>
          <w:t>Community testing to help lift restrictions in highest tiers</w:t>
        </w:r>
      </w:hyperlink>
      <w:r>
        <w:rPr>
          <w:rFonts w:eastAsiaTheme="minorEastAsia"/>
        </w:rPr>
        <w:br/>
      </w:r>
    </w:p>
    <w:p w:rsidR="00BB2352" w:rsidRPr="00BB2352" w:rsidRDefault="00BB2352" w:rsidP="00BB2352">
      <w:pPr>
        <w:pBdr>
          <w:top w:val="single" w:sz="6" w:space="2" w:color="D4802C"/>
          <w:left w:val="single" w:sz="6" w:space="2" w:color="D4802C"/>
        </w:pBdr>
        <w:spacing w:before="300" w:after="0"/>
        <w:outlineLvl w:val="2"/>
        <w:rPr>
          <w:rFonts w:eastAsiaTheme="minorEastAsia"/>
        </w:rPr>
      </w:pPr>
      <w:r w:rsidRPr="00BB2352">
        <w:rPr>
          <w:rFonts w:eastAsiaTheme="minorEastAsia"/>
          <w:b/>
          <w:spacing w:val="15"/>
        </w:rPr>
        <w:t xml:space="preserve">TITLE: </w:t>
      </w:r>
      <w:r w:rsidRPr="00BB2352">
        <w:rPr>
          <w:rFonts w:eastAsiaTheme="minorEastAsia"/>
          <w:spacing w:val="15"/>
        </w:rPr>
        <w:t>DESIGNATED SETTINGS FOR COVID-19 PATIENTS LEAVING</w:t>
      </w:r>
      <w:r w:rsidRPr="00BB2352">
        <w:rPr>
          <w:rFonts w:eastAsiaTheme="minorEastAsia"/>
          <w:b/>
          <w:spacing w:val="15"/>
        </w:rPr>
        <w:t xml:space="preserve"> </w:t>
      </w:r>
      <w:r w:rsidRPr="00BB2352">
        <w:rPr>
          <w:rFonts w:eastAsiaTheme="minorEastAsia"/>
          <w:spacing w:val="15"/>
        </w:rPr>
        <w:t>HOSPITAL</w:t>
      </w:r>
      <w:r w:rsidRPr="00BB2352">
        <w:rPr>
          <w:rFonts w:eastAsiaTheme="minorEastAsia"/>
        </w:rPr>
        <w:t xml:space="preserve">  </w:t>
      </w:r>
    </w:p>
    <w:p w:rsidR="00BB2352" w:rsidRPr="00BB2352" w:rsidRDefault="00BB2352" w:rsidP="00BB2352">
      <w:pPr>
        <w:spacing w:before="200"/>
        <w:rPr>
          <w:rFonts w:eastAsiaTheme="minorEastAsia"/>
        </w:rPr>
      </w:pPr>
      <w:r w:rsidRPr="00BB2352">
        <w:rPr>
          <w:rFonts w:eastAsiaTheme="minorEastAsia"/>
        </w:rPr>
        <w:t>Care Quality Commission | 1</w:t>
      </w:r>
      <w:r w:rsidRPr="00BB2352">
        <w:rPr>
          <w:rFonts w:eastAsiaTheme="minorEastAsia"/>
          <w:vertAlign w:val="superscript"/>
        </w:rPr>
        <w:t>st</w:t>
      </w:r>
      <w:r w:rsidRPr="00BB2352">
        <w:rPr>
          <w:rFonts w:eastAsiaTheme="minorEastAsia"/>
        </w:rPr>
        <w:t xml:space="preserve"> December 2020</w:t>
      </w:r>
    </w:p>
    <w:p w:rsidR="00BB2352" w:rsidRPr="00BB2352" w:rsidRDefault="00BB2352" w:rsidP="00BB2352">
      <w:pPr>
        <w:spacing w:before="200"/>
        <w:rPr>
          <w:rFonts w:eastAsiaTheme="minorEastAsia"/>
        </w:rPr>
      </w:pPr>
      <w:r w:rsidRPr="00BB2352">
        <w:rPr>
          <w:rFonts w:eastAsiaTheme="minorEastAsia"/>
        </w:rPr>
        <w:t>The CQC is working with the Department of Health and Social Care (DHSC), local authorities and individual care providers to provide assurance of safe and high-quality care in designated settings, which are part of a scheme to allow people with a COVID-positive test result to be discharged safely from hospitals.</w:t>
      </w:r>
    </w:p>
    <w:p w:rsidR="00BB2352" w:rsidRPr="00BB2352" w:rsidRDefault="00BB2352" w:rsidP="00BB2352">
      <w:pPr>
        <w:spacing w:before="200"/>
        <w:rPr>
          <w:rFonts w:eastAsiaTheme="minorEastAsia"/>
        </w:rPr>
      </w:pPr>
      <w:r w:rsidRPr="00BB2352">
        <w:rPr>
          <w:rFonts w:eastAsiaTheme="minorEastAsia"/>
        </w:rPr>
        <w:t>These settings are admitting people who are discharged from hospital with a COVID-positive test who will be moving or going back into a care home setting. This is to help prevent the spread of COVID-19 (coronavirus) in care homes and will allow for a focus on the care that people who have contracted COVID-19 need.</w:t>
      </w:r>
    </w:p>
    <w:p w:rsidR="00BB2352" w:rsidRPr="00BB2352" w:rsidRDefault="00BB2352" w:rsidP="00BB2352">
      <w:pPr>
        <w:spacing w:before="200"/>
        <w:rPr>
          <w:rFonts w:eastAsiaTheme="minorEastAsia"/>
        </w:rPr>
      </w:pPr>
      <w:r w:rsidRPr="00BB2352">
        <w:rPr>
          <w:rFonts w:eastAsiaTheme="minorEastAsia"/>
        </w:rPr>
        <w:t xml:space="preserve">Full detail: </w:t>
      </w:r>
      <w:hyperlink r:id="rId21" w:history="1">
        <w:r w:rsidRPr="00BB2352">
          <w:rPr>
            <w:rFonts w:eastAsiaTheme="minorEastAsia"/>
            <w:color w:val="0000FF" w:themeColor="hyperlink"/>
            <w:u w:val="single"/>
          </w:rPr>
          <w:t>Designated settings for COVID-19 patients leaving hospital</w:t>
        </w:r>
      </w:hyperlink>
    </w:p>
    <w:p w:rsidR="002F29D4" w:rsidRDefault="002F29D4" w:rsidP="002F29D4"/>
    <w:p w:rsidR="0058553E" w:rsidRPr="0058553E" w:rsidRDefault="0058553E" w:rsidP="0058553E">
      <w:pPr>
        <w:pBdr>
          <w:top w:val="single" w:sz="6" w:space="2" w:color="D4802C"/>
          <w:left w:val="single" w:sz="6" w:space="2" w:color="D4802C"/>
        </w:pBdr>
        <w:spacing w:before="300" w:after="0"/>
        <w:outlineLvl w:val="2"/>
        <w:rPr>
          <w:rFonts w:eastAsiaTheme="minorEastAsia"/>
        </w:rPr>
      </w:pPr>
      <w:r w:rsidRPr="0058553E">
        <w:rPr>
          <w:rFonts w:eastAsiaTheme="minorEastAsia"/>
          <w:b/>
          <w:caps/>
          <w:spacing w:val="15"/>
        </w:rPr>
        <w:t>Title:</w:t>
      </w:r>
      <w:r w:rsidRPr="0058553E">
        <w:t xml:space="preserve"> </w:t>
      </w:r>
      <w:r w:rsidRPr="0058553E">
        <w:rPr>
          <w:rFonts w:eastAsiaTheme="minorEastAsia"/>
          <w:caps/>
          <w:spacing w:val="15"/>
        </w:rPr>
        <w:t>Care home residents to be reunited with families by Christmas</w:t>
      </w:r>
      <w:r w:rsidRPr="0058553E">
        <w:t xml:space="preserve"> </w:t>
      </w:r>
    </w:p>
    <w:p w:rsidR="0058553E" w:rsidRPr="0058553E" w:rsidRDefault="0058553E" w:rsidP="0058553E">
      <w:pPr>
        <w:spacing w:before="200"/>
        <w:rPr>
          <w:rFonts w:eastAsiaTheme="minorEastAsia"/>
        </w:rPr>
      </w:pPr>
      <w:r w:rsidRPr="0058553E">
        <w:rPr>
          <w:rFonts w:eastAsiaTheme="minorEastAsia"/>
        </w:rPr>
        <w:t>Department of Health and Social Care | 1</w:t>
      </w:r>
      <w:r w:rsidRPr="0058553E">
        <w:rPr>
          <w:rFonts w:eastAsiaTheme="minorEastAsia"/>
          <w:vertAlign w:val="superscript"/>
        </w:rPr>
        <w:t>st</w:t>
      </w:r>
      <w:r w:rsidRPr="0058553E">
        <w:rPr>
          <w:rFonts w:eastAsiaTheme="minorEastAsia"/>
        </w:rPr>
        <w:t xml:space="preserve"> December 2020</w:t>
      </w:r>
    </w:p>
    <w:p w:rsidR="0058553E" w:rsidRPr="0058553E" w:rsidRDefault="0058553E" w:rsidP="0058553E">
      <w:pPr>
        <w:spacing w:before="200"/>
        <w:rPr>
          <w:rFonts w:eastAsiaTheme="minorEastAsia"/>
        </w:rPr>
      </w:pPr>
      <w:r w:rsidRPr="0058553E">
        <w:rPr>
          <w:rFonts w:eastAsiaTheme="minorEastAsia"/>
        </w:rPr>
        <w:t>New guidance will safely allow indoor visits to care homes across England as the country moves back into tiered restrictions.</w:t>
      </w:r>
    </w:p>
    <w:p w:rsidR="0058553E" w:rsidRPr="0058553E" w:rsidRDefault="0058553E" w:rsidP="0058553E">
      <w:pPr>
        <w:numPr>
          <w:ilvl w:val="0"/>
          <w:numId w:val="5"/>
        </w:numPr>
        <w:spacing w:before="200"/>
        <w:rPr>
          <w:rFonts w:eastAsiaTheme="minorEastAsia"/>
        </w:rPr>
      </w:pPr>
      <w:r w:rsidRPr="0058553E">
        <w:rPr>
          <w:rFonts w:eastAsiaTheme="minorEastAsia"/>
        </w:rPr>
        <w:t>Visits out to family homes or outdoor spaces like parks may also be possible for some care home residents under 65</w:t>
      </w:r>
    </w:p>
    <w:p w:rsidR="0058553E" w:rsidRPr="0058553E" w:rsidRDefault="0058553E" w:rsidP="0058553E">
      <w:pPr>
        <w:numPr>
          <w:ilvl w:val="0"/>
          <w:numId w:val="5"/>
        </w:numPr>
        <w:spacing w:before="200"/>
        <w:rPr>
          <w:rFonts w:eastAsiaTheme="minorEastAsia"/>
        </w:rPr>
      </w:pPr>
      <w:r w:rsidRPr="0058553E">
        <w:rPr>
          <w:rFonts w:eastAsiaTheme="minorEastAsia"/>
        </w:rPr>
        <w:t>Safe care home visits to be supported by the provision of over a million rapid tests and free personal protective equipment (PPE)</w:t>
      </w:r>
    </w:p>
    <w:p w:rsidR="0058553E" w:rsidRPr="0058553E" w:rsidRDefault="0058553E" w:rsidP="0058553E">
      <w:pPr>
        <w:spacing w:before="200"/>
        <w:rPr>
          <w:rFonts w:eastAsiaTheme="minorEastAsia"/>
        </w:rPr>
      </w:pPr>
      <w:r w:rsidRPr="0058553E">
        <w:rPr>
          <w:rFonts w:eastAsiaTheme="minorEastAsia"/>
        </w:rPr>
        <w:t xml:space="preserve">Full detail: </w:t>
      </w:r>
      <w:hyperlink r:id="rId22" w:history="1">
        <w:r w:rsidRPr="0058553E">
          <w:rPr>
            <w:rFonts w:eastAsiaTheme="minorEastAsia"/>
            <w:color w:val="0000FF" w:themeColor="hyperlink"/>
            <w:u w:val="single"/>
          </w:rPr>
          <w:t>Care home residents to be reunited with families by Christmas</w:t>
        </w:r>
      </w:hyperlink>
      <w:r w:rsidR="00141A8C">
        <w:rPr>
          <w:rFonts w:eastAsiaTheme="minorEastAsia"/>
        </w:rPr>
        <w:br/>
      </w:r>
    </w:p>
    <w:p w:rsidR="00141A8C" w:rsidRPr="00141A8C" w:rsidRDefault="00141A8C" w:rsidP="00141A8C">
      <w:pPr>
        <w:pBdr>
          <w:top w:val="single" w:sz="6" w:space="2" w:color="D4802C"/>
          <w:left w:val="single" w:sz="6" w:space="2" w:color="D4802C"/>
        </w:pBdr>
        <w:spacing w:before="300" w:after="0"/>
        <w:outlineLvl w:val="2"/>
        <w:rPr>
          <w:rFonts w:eastAsiaTheme="minorEastAsia"/>
        </w:rPr>
      </w:pPr>
      <w:r w:rsidRPr="00141A8C">
        <w:rPr>
          <w:rFonts w:eastAsiaTheme="minorEastAsia"/>
          <w:b/>
          <w:caps/>
          <w:spacing w:val="15"/>
        </w:rPr>
        <w:t>Title</w:t>
      </w:r>
      <w:r w:rsidRPr="00141A8C">
        <w:rPr>
          <w:rFonts w:eastAsiaTheme="minorEastAsia"/>
          <w:caps/>
          <w:spacing w:val="15"/>
        </w:rPr>
        <w:t>: Supporting recovery from COVID-19</w:t>
      </w:r>
    </w:p>
    <w:p w:rsidR="00141A8C" w:rsidRPr="00141A8C" w:rsidRDefault="00141A8C" w:rsidP="00141A8C">
      <w:pPr>
        <w:spacing w:before="200"/>
        <w:rPr>
          <w:rFonts w:eastAsiaTheme="minorEastAsia"/>
          <w:iCs/>
        </w:rPr>
      </w:pPr>
      <w:r w:rsidRPr="00141A8C">
        <w:rPr>
          <w:rFonts w:eastAsiaTheme="minorEastAsia"/>
          <w:iCs/>
        </w:rPr>
        <w:t>British Journal of Nursing | November 26</w:t>
      </w:r>
      <w:r w:rsidRPr="00141A8C">
        <w:rPr>
          <w:rFonts w:eastAsiaTheme="minorEastAsia"/>
          <w:iCs/>
          <w:vertAlign w:val="superscript"/>
        </w:rPr>
        <w:t>th</w:t>
      </w:r>
      <w:r w:rsidRPr="00141A8C">
        <w:rPr>
          <w:rFonts w:eastAsiaTheme="minorEastAsia"/>
          <w:iCs/>
        </w:rPr>
        <w:t xml:space="preserve"> 2020</w:t>
      </w:r>
    </w:p>
    <w:p w:rsidR="00141A8C" w:rsidRPr="00141A8C" w:rsidRDefault="00141A8C" w:rsidP="00141A8C">
      <w:pPr>
        <w:spacing w:before="200"/>
        <w:rPr>
          <w:rFonts w:eastAsiaTheme="minorEastAsia"/>
        </w:rPr>
      </w:pPr>
      <w:r w:rsidRPr="00141A8C">
        <w:rPr>
          <w:rFonts w:eastAsiaTheme="minorEastAsia"/>
        </w:rPr>
        <w:t>COVID-19 is a new disease. Most research into the disease has focused on prevention of viral spread and treatment, but little is known about how patients recover. Nurses, whether in hospital, the community or in primary care, have a key role in supporting recovery from COVID-19.</w:t>
      </w:r>
    </w:p>
    <w:p w:rsidR="00141A8C" w:rsidRPr="00141A8C" w:rsidRDefault="00141A8C" w:rsidP="00141A8C">
      <w:pPr>
        <w:spacing w:before="200"/>
        <w:rPr>
          <w:rFonts w:eastAsiaTheme="minorEastAsia"/>
        </w:rPr>
      </w:pPr>
      <w:r w:rsidRPr="00141A8C">
        <w:rPr>
          <w:rFonts w:eastAsiaTheme="minorEastAsia"/>
        </w:rPr>
        <w:t>In this article, direct evidence from studies of COVID-19, and indirect evidence from studies of infections caused by other coronaviruses (</w:t>
      </w:r>
      <w:proofErr w:type="spellStart"/>
      <w:r w:rsidRPr="00141A8C">
        <w:rPr>
          <w:rFonts w:eastAsiaTheme="minorEastAsia"/>
        </w:rPr>
        <w:t>eg</w:t>
      </w:r>
      <w:proofErr w:type="spellEnd"/>
      <w:r w:rsidRPr="00141A8C">
        <w:rPr>
          <w:rFonts w:eastAsiaTheme="minorEastAsia"/>
        </w:rPr>
        <w:t xml:space="preserve"> SARS, MERS) and of the ICU experience are explored to identify the potential course of recovery and areas where nurses can help. Most people will have an uncomplicated recovery. However, it appears that a more complicated recovery is likely to be associated with severe disease. A minority, possibly those needing hospitalisation, and/or with pre-existing physical or psychological comorbidities, may experience long-term physical effects, fatigue and mental health difficulties. </w:t>
      </w:r>
    </w:p>
    <w:p w:rsidR="00141A8C" w:rsidRPr="00141A8C" w:rsidRDefault="00141A8C" w:rsidP="00141A8C">
      <w:pPr>
        <w:spacing w:before="200"/>
        <w:rPr>
          <w:rFonts w:eastAsiaTheme="minorEastAsia"/>
        </w:rPr>
      </w:pPr>
      <w:r w:rsidRPr="00141A8C">
        <w:rPr>
          <w:rFonts w:eastAsiaTheme="minorEastAsia"/>
        </w:rPr>
        <w:t>The support that nurses, as part of a multidisciplinary team, can provide to facilitate recovery is discussed.</w:t>
      </w:r>
    </w:p>
    <w:p w:rsidR="0058553E" w:rsidRDefault="00141A8C" w:rsidP="00141A8C">
      <w:r w:rsidRPr="00141A8C">
        <w:rPr>
          <w:rFonts w:eastAsiaTheme="minorEastAsia"/>
        </w:rPr>
        <w:t xml:space="preserve">Further detail: </w:t>
      </w:r>
      <w:hyperlink r:id="rId23" w:history="1">
        <w:r w:rsidRPr="00141A8C">
          <w:rPr>
            <w:rFonts w:eastAsiaTheme="minorEastAsia"/>
            <w:color w:val="0000FF" w:themeColor="hyperlink"/>
            <w:u w:val="single"/>
          </w:rPr>
          <w:t>Supporting recovery from COVID-19</w:t>
        </w:r>
      </w:hyperlink>
    </w:p>
    <w:p w:rsidR="00265BB6" w:rsidRDefault="00265BB6" w:rsidP="002F29D4">
      <w:pPr>
        <w:rPr>
          <w:rFonts w:eastAsiaTheme="minorEastAsia"/>
          <w:b/>
          <w:caps/>
          <w:spacing w:val="15"/>
        </w:rPr>
      </w:pPr>
    </w:p>
    <w:p w:rsidR="00265BB6" w:rsidRDefault="00265BB6"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F41973" w:rsidRPr="00F41973">
        <w:rPr>
          <w:rFonts w:eastAsiaTheme="minorEastAsia"/>
          <w:caps/>
          <w:spacing w:val="15"/>
        </w:rPr>
        <w:t>UK authorises Pfizer/BioNTech COVID-19 vaccine</w:t>
      </w:r>
    </w:p>
    <w:p w:rsidR="00F41973" w:rsidRDefault="00F41973" w:rsidP="00F41973">
      <w:pPr>
        <w:spacing w:before="200"/>
        <w:rPr>
          <w:rFonts w:eastAsiaTheme="minorEastAsia"/>
          <w:bCs/>
          <w:iCs/>
        </w:rPr>
      </w:pPr>
      <w:r w:rsidRPr="00F41973">
        <w:rPr>
          <w:rFonts w:eastAsiaTheme="minorEastAsia"/>
          <w:bCs/>
          <w:iCs/>
        </w:rPr>
        <w:t>Department of Health and Social Care</w:t>
      </w:r>
      <w:r>
        <w:rPr>
          <w:rFonts w:eastAsiaTheme="minorEastAsia"/>
          <w:bCs/>
          <w:iCs/>
        </w:rPr>
        <w:t xml:space="preserve"> | 2</w:t>
      </w:r>
      <w:r w:rsidRPr="00F41973">
        <w:rPr>
          <w:rFonts w:eastAsiaTheme="minorEastAsia"/>
          <w:bCs/>
          <w:iCs/>
          <w:vertAlign w:val="superscript"/>
        </w:rPr>
        <w:t>nd</w:t>
      </w:r>
      <w:r>
        <w:rPr>
          <w:rFonts w:eastAsiaTheme="minorEastAsia"/>
          <w:bCs/>
          <w:iCs/>
        </w:rPr>
        <w:t xml:space="preserve"> December 2020</w:t>
      </w:r>
    </w:p>
    <w:p w:rsidR="00F41973" w:rsidRPr="00F41973" w:rsidRDefault="00F41973" w:rsidP="00F41973">
      <w:pPr>
        <w:spacing w:before="200"/>
        <w:rPr>
          <w:rFonts w:eastAsiaTheme="minorEastAsia"/>
          <w:bCs/>
        </w:rPr>
      </w:pPr>
      <w:r w:rsidRPr="00F41973">
        <w:rPr>
          <w:rFonts w:eastAsiaTheme="minorEastAsia"/>
          <w:bCs/>
          <w:iCs/>
        </w:rPr>
        <w:t>Th</w:t>
      </w:r>
      <w:r>
        <w:rPr>
          <w:rFonts w:eastAsiaTheme="minorEastAsia"/>
          <w:bCs/>
          <w:iCs/>
        </w:rPr>
        <w:t xml:space="preserve">e Government has announced </w:t>
      </w:r>
      <w:r w:rsidRPr="00F41973">
        <w:rPr>
          <w:rFonts w:eastAsiaTheme="minorEastAsia"/>
          <w:bCs/>
          <w:iCs/>
        </w:rPr>
        <w:t>that it has authorised the first COVID-19 vaccine on independent advice of medicines regulator</w:t>
      </w:r>
      <w:r>
        <w:rPr>
          <w:rFonts w:eastAsiaTheme="minorEastAsia"/>
          <w:bCs/>
          <w:iCs/>
        </w:rPr>
        <w:t>:</w:t>
      </w:r>
    </w:p>
    <w:p w:rsidR="00F41973" w:rsidRPr="00F41973" w:rsidRDefault="00F41973" w:rsidP="00F41973">
      <w:pPr>
        <w:spacing w:before="200"/>
        <w:rPr>
          <w:rFonts w:eastAsiaTheme="minorEastAsia"/>
          <w:bCs/>
        </w:rPr>
      </w:pPr>
      <w:r w:rsidRPr="00F41973">
        <w:rPr>
          <w:rFonts w:eastAsiaTheme="minorEastAsia"/>
          <w:bCs/>
        </w:rPr>
        <w:t xml:space="preserve">“The Government has today accepted the recommendation from the independent Medicines and Healthcare </w:t>
      </w:r>
      <w:proofErr w:type="gramStart"/>
      <w:r w:rsidRPr="00F41973">
        <w:rPr>
          <w:rFonts w:eastAsiaTheme="minorEastAsia"/>
          <w:bCs/>
        </w:rPr>
        <w:t>products</w:t>
      </w:r>
      <w:proofErr w:type="gramEnd"/>
      <w:r w:rsidRPr="00F41973">
        <w:rPr>
          <w:rFonts w:eastAsiaTheme="minorEastAsia"/>
          <w:bCs/>
        </w:rPr>
        <w:t xml:space="preserve"> Regulatory Agency (MHRA) to approve Pfizer-</w:t>
      </w:r>
      <w:proofErr w:type="spellStart"/>
      <w:r w:rsidRPr="00F41973">
        <w:rPr>
          <w:rFonts w:eastAsiaTheme="minorEastAsia"/>
          <w:bCs/>
        </w:rPr>
        <w:t>BioNTech’s</w:t>
      </w:r>
      <w:proofErr w:type="spellEnd"/>
      <w:r w:rsidRPr="00F41973">
        <w:rPr>
          <w:rFonts w:eastAsiaTheme="minorEastAsia"/>
          <w:bCs/>
        </w:rPr>
        <w:t xml:space="preserve"> COVID-19 vaccine for use. This follows months of rigorous clinical trials and a thorough analysis of the data by experts at the MHRA who have concluded that the vaccine has met its strict standards of safety, quality and effectiveness</w:t>
      </w:r>
      <w:r>
        <w:rPr>
          <w:rFonts w:eastAsiaTheme="minorEastAsia"/>
          <w:bCs/>
        </w:rPr>
        <w:t>”</w:t>
      </w:r>
      <w:r w:rsidRPr="00F41973">
        <w:rPr>
          <w:rFonts w:eastAsiaTheme="minorEastAsia"/>
          <w:bCs/>
        </w:rPr>
        <w:t>.</w:t>
      </w:r>
    </w:p>
    <w:p w:rsidR="00F41973" w:rsidRPr="00F41973" w:rsidRDefault="00F41973" w:rsidP="00F41973">
      <w:pPr>
        <w:spacing w:before="200"/>
        <w:rPr>
          <w:rFonts w:eastAsiaTheme="minorEastAsia"/>
          <w:bCs/>
        </w:rPr>
      </w:pPr>
      <w:r w:rsidRPr="00F41973">
        <w:rPr>
          <w:rFonts w:eastAsiaTheme="minorEastAsia"/>
          <w:bCs/>
        </w:rPr>
        <w:t>“The Joint Committee on Vaccinations and Immunisations (JCVI) will shortly publish its final advice for the priority groups to receive the vaccine, including care home residents, health and care staff, the elderly and the clinically extremely vulnerable</w:t>
      </w:r>
      <w:r>
        <w:rPr>
          <w:rFonts w:eastAsiaTheme="minorEastAsia"/>
          <w:bCs/>
        </w:rPr>
        <w:t>”</w:t>
      </w:r>
      <w:r w:rsidRPr="00F41973">
        <w:rPr>
          <w:rFonts w:eastAsiaTheme="minorEastAsia"/>
          <w:bCs/>
        </w:rPr>
        <w:t>.</w:t>
      </w:r>
    </w:p>
    <w:p w:rsidR="00F41973" w:rsidRDefault="00F41973" w:rsidP="00F41973">
      <w:pPr>
        <w:spacing w:before="200"/>
        <w:rPr>
          <w:rFonts w:eastAsiaTheme="minorEastAsia"/>
          <w:bCs/>
        </w:rPr>
      </w:pPr>
      <w:r w:rsidRPr="00F41973">
        <w:rPr>
          <w:rFonts w:eastAsiaTheme="minorEastAsia"/>
          <w:bCs/>
        </w:rPr>
        <w:t>“The vaccine will be made available across the UK from next week. The NHS has decades of experience in delivering large scale vaccination programmes and will begin putting their extensive preparations into action to provide care and support to all those eligible for vaccination</w:t>
      </w:r>
      <w:r>
        <w:rPr>
          <w:rFonts w:eastAsiaTheme="minorEastAsia"/>
          <w:bCs/>
        </w:rPr>
        <w:t>.</w:t>
      </w:r>
    </w:p>
    <w:p w:rsidR="00F41973" w:rsidRDefault="00F41973" w:rsidP="00F41973">
      <w:pPr>
        <w:spacing w:before="200"/>
        <w:rPr>
          <w:rFonts w:eastAsiaTheme="minorEastAsia"/>
          <w:bCs/>
        </w:rPr>
      </w:pPr>
      <w:r>
        <w:rPr>
          <w:rFonts w:eastAsiaTheme="minorEastAsia"/>
          <w:bCs/>
        </w:rPr>
        <w:t>Full detail</w:t>
      </w:r>
      <w:r w:rsidRPr="00F41973">
        <w:rPr>
          <w:rFonts w:eastAsiaTheme="minorEastAsia"/>
          <w:bCs/>
        </w:rPr>
        <w:t xml:space="preserve">: </w:t>
      </w:r>
      <w:hyperlink r:id="rId24" w:history="1">
        <w:r w:rsidRPr="00F41973">
          <w:rPr>
            <w:rStyle w:val="Hyperlink"/>
            <w:rFonts w:eastAsiaTheme="minorEastAsia"/>
            <w:bCs/>
          </w:rPr>
          <w:t>UK authorises Pfizer/</w:t>
        </w:r>
        <w:proofErr w:type="spellStart"/>
        <w:r w:rsidRPr="00F41973">
          <w:rPr>
            <w:rStyle w:val="Hyperlink"/>
            <w:rFonts w:eastAsiaTheme="minorEastAsia"/>
            <w:bCs/>
          </w:rPr>
          <w:t>BioNTech</w:t>
        </w:r>
        <w:proofErr w:type="spellEnd"/>
        <w:r w:rsidRPr="00F41973">
          <w:rPr>
            <w:rStyle w:val="Hyperlink"/>
            <w:rFonts w:eastAsiaTheme="minorEastAsia"/>
            <w:bCs/>
          </w:rPr>
          <w:t xml:space="preserve"> COVID-19 vaccine</w:t>
        </w:r>
      </w:hyperlink>
      <w:r>
        <w:rPr>
          <w:rFonts w:eastAsiaTheme="minorEastAsia"/>
          <w:bCs/>
        </w:rPr>
        <w:t xml:space="preserve"> </w:t>
      </w:r>
    </w:p>
    <w:p w:rsidR="00BB2352" w:rsidRDefault="00B40ECA" w:rsidP="00F41973">
      <w:pPr>
        <w:spacing w:before="200"/>
        <w:rPr>
          <w:rFonts w:eastAsiaTheme="minorEastAsia"/>
          <w:bCs/>
        </w:rPr>
      </w:pPr>
      <w:r>
        <w:rPr>
          <w:rFonts w:eastAsiaTheme="minorEastAsia"/>
          <w:bCs/>
        </w:rPr>
        <w:t xml:space="preserve">See also: </w:t>
      </w:r>
    </w:p>
    <w:p w:rsidR="00BB2352" w:rsidRPr="00BB2352" w:rsidRDefault="00BB2352" w:rsidP="00BB2352">
      <w:pPr>
        <w:spacing w:before="200"/>
        <w:rPr>
          <w:rFonts w:eastAsiaTheme="minorEastAsia"/>
          <w:bCs/>
        </w:rPr>
      </w:pPr>
      <w:hyperlink r:id="rId25" w:history="1">
        <w:r w:rsidRPr="00BB2352">
          <w:rPr>
            <w:rStyle w:val="Hyperlink"/>
            <w:rFonts w:eastAsiaTheme="minorEastAsia"/>
            <w:bCs/>
          </w:rPr>
          <w:t>COVID-19 vaccine authorised by medicines regulator</w:t>
        </w:r>
      </w:hyperlink>
      <w:r>
        <w:rPr>
          <w:rFonts w:eastAsiaTheme="minorEastAsia"/>
          <w:bCs/>
        </w:rPr>
        <w:t xml:space="preserve"> | </w:t>
      </w:r>
      <w:r w:rsidRPr="00BB2352">
        <w:rPr>
          <w:rFonts w:eastAsiaTheme="minorEastAsia"/>
          <w:bCs/>
          <w:iCs/>
        </w:rPr>
        <w:t>Department of Health and Social Care</w:t>
      </w:r>
    </w:p>
    <w:p w:rsidR="00B40ECA" w:rsidRPr="00F41973" w:rsidRDefault="00B40ECA" w:rsidP="00F41973">
      <w:pPr>
        <w:spacing w:before="200"/>
        <w:rPr>
          <w:rFonts w:eastAsiaTheme="minorEastAsia"/>
          <w:bCs/>
        </w:rPr>
      </w:pPr>
      <w:hyperlink r:id="rId26" w:history="1">
        <w:r w:rsidRPr="00B40ECA">
          <w:rPr>
            <w:rStyle w:val="Hyperlink"/>
            <w:rFonts w:eastAsiaTheme="minorEastAsia"/>
            <w:bCs/>
          </w:rPr>
          <w:t xml:space="preserve">UK approves Pfizer and </w:t>
        </w:r>
        <w:proofErr w:type="spellStart"/>
        <w:r w:rsidRPr="00B40ECA">
          <w:rPr>
            <w:rStyle w:val="Hyperlink"/>
            <w:rFonts w:eastAsiaTheme="minorEastAsia"/>
            <w:bCs/>
          </w:rPr>
          <w:t>BioNTech</w:t>
        </w:r>
        <w:proofErr w:type="spellEnd"/>
        <w:r w:rsidRPr="00B40ECA">
          <w:rPr>
            <w:rStyle w:val="Hyperlink"/>
            <w:rFonts w:eastAsiaTheme="minorEastAsia"/>
            <w:bCs/>
          </w:rPr>
          <w:t xml:space="preserve"> vaccine with rollout due to start next week</w:t>
        </w:r>
      </w:hyperlink>
      <w:r>
        <w:rPr>
          <w:rFonts w:eastAsiaTheme="minorEastAsia"/>
          <w:bCs/>
        </w:rPr>
        <w:t xml:space="preserve"> | BMJ</w:t>
      </w:r>
    </w:p>
    <w:p w:rsidR="00B5385F" w:rsidRDefault="00B5385F" w:rsidP="00B5385F">
      <w:pPr>
        <w:spacing w:before="200"/>
        <w:rPr>
          <w:rFonts w:eastAsiaTheme="minorEastAsia"/>
          <w:bCs/>
        </w:rPr>
      </w:pPr>
    </w:p>
    <w:p w:rsidR="00F41973" w:rsidRDefault="00F41973" w:rsidP="00F41973">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F41973">
        <w:rPr>
          <w:rFonts w:eastAsiaTheme="minorEastAsia"/>
          <w:caps/>
          <w:spacing w:val="15"/>
        </w:rPr>
        <w:t>Urgent preparing for community pharmacy to contribute to a potential Covid-19 vaccination programme</w:t>
      </w:r>
    </w:p>
    <w:p w:rsidR="00F41973" w:rsidRDefault="00F41973" w:rsidP="00B5385F">
      <w:pPr>
        <w:spacing w:before="200"/>
        <w:rPr>
          <w:rFonts w:eastAsiaTheme="minorEastAsia"/>
          <w:bCs/>
        </w:rPr>
      </w:pPr>
      <w:r w:rsidRPr="00F41973">
        <w:rPr>
          <w:rFonts w:eastAsiaTheme="minorEastAsia"/>
          <w:bCs/>
        </w:rPr>
        <w:t>NHS England | 27</w:t>
      </w:r>
      <w:r w:rsidRPr="00F41973">
        <w:rPr>
          <w:rFonts w:eastAsiaTheme="minorEastAsia"/>
          <w:bCs/>
          <w:vertAlign w:val="superscript"/>
        </w:rPr>
        <w:t>th</w:t>
      </w:r>
      <w:r w:rsidRPr="00F41973">
        <w:rPr>
          <w:rFonts w:eastAsiaTheme="minorEastAsia"/>
          <w:bCs/>
        </w:rPr>
        <w:t xml:space="preserve"> November 2020</w:t>
      </w:r>
    </w:p>
    <w:p w:rsidR="00627C30" w:rsidRDefault="00F41973" w:rsidP="00F41973">
      <w:pPr>
        <w:spacing w:before="200"/>
        <w:rPr>
          <w:rFonts w:eastAsiaTheme="minorEastAsia"/>
          <w:bCs/>
        </w:rPr>
      </w:pPr>
      <w:r w:rsidRPr="00F41973">
        <w:rPr>
          <w:rFonts w:eastAsiaTheme="minorEastAsia"/>
          <w:bCs/>
        </w:rPr>
        <w:t>Due to their position in local communities, pharmacies are well placed to reach out to our diverse neighbourhoods and avoid inequalities in access. This means community pharmacy will have an important role in a potential COVID-19 vaccination programme</w:t>
      </w:r>
      <w:r w:rsidR="00627C30">
        <w:rPr>
          <w:rFonts w:eastAsiaTheme="minorEastAsia"/>
          <w:bCs/>
        </w:rPr>
        <w:t>.</w:t>
      </w:r>
      <w:r w:rsidRPr="00F41973">
        <w:rPr>
          <w:rFonts w:eastAsiaTheme="minorEastAsia"/>
          <w:bCs/>
        </w:rPr>
        <w:t xml:space="preserve"> This letter to community pharmacies, contractors and the workforce outlines how stakeholders will be able to support the COVID19 vaccination service </w:t>
      </w:r>
      <w:r w:rsidR="00627C30">
        <w:rPr>
          <w:rFonts w:eastAsiaTheme="minorEastAsia"/>
          <w:bCs/>
        </w:rPr>
        <w:t>in the following ways, such as:</w:t>
      </w:r>
    </w:p>
    <w:p w:rsidR="00627C30" w:rsidRDefault="00627C30" w:rsidP="00217C26">
      <w:pPr>
        <w:pStyle w:val="ListParagraph"/>
        <w:numPr>
          <w:ilvl w:val="0"/>
          <w:numId w:val="1"/>
        </w:numPr>
        <w:spacing w:before="200"/>
        <w:rPr>
          <w:rFonts w:eastAsiaTheme="minorEastAsia"/>
          <w:bCs/>
        </w:rPr>
      </w:pPr>
      <w:r>
        <w:rPr>
          <w:rFonts w:eastAsiaTheme="minorEastAsia"/>
          <w:bCs/>
        </w:rPr>
        <w:t>I</w:t>
      </w:r>
      <w:r w:rsidR="00F41973" w:rsidRPr="00627C30">
        <w:rPr>
          <w:rFonts w:eastAsiaTheme="minorEastAsia"/>
          <w:bCs/>
        </w:rPr>
        <w:t>ndividuals who are able to support local workforce arrangements can do</w:t>
      </w:r>
      <w:r w:rsidR="00F41973" w:rsidRPr="00627C30">
        <w:rPr>
          <w:rFonts w:eastAsiaTheme="minorEastAsia"/>
          <w:bCs/>
        </w:rPr>
        <w:br/>
        <w:t>so by joining the NHS COVID-19 vaccine team.</w:t>
      </w:r>
    </w:p>
    <w:p w:rsidR="00627C30" w:rsidRDefault="00F41973" w:rsidP="00217C26">
      <w:pPr>
        <w:pStyle w:val="ListParagraph"/>
        <w:numPr>
          <w:ilvl w:val="0"/>
          <w:numId w:val="1"/>
        </w:numPr>
        <w:spacing w:before="200"/>
        <w:rPr>
          <w:rFonts w:eastAsiaTheme="minorEastAsia"/>
          <w:bCs/>
        </w:rPr>
      </w:pPr>
      <w:r w:rsidRPr="00627C30">
        <w:rPr>
          <w:rFonts w:eastAsiaTheme="minorEastAsia"/>
          <w:bCs/>
        </w:rPr>
        <w:t>Community pharmacy contractors can collaborate with their local Primary</w:t>
      </w:r>
      <w:r w:rsidRPr="00627C30">
        <w:rPr>
          <w:rFonts w:eastAsiaTheme="minorEastAsia"/>
          <w:bCs/>
        </w:rPr>
        <w:br/>
        <w:t>Care Network to support them to deliver maximum vaccine uptake via the</w:t>
      </w:r>
      <w:r w:rsidRPr="00627C30">
        <w:rPr>
          <w:rFonts w:eastAsiaTheme="minorEastAsia"/>
          <w:bCs/>
        </w:rPr>
        <w:br/>
        <w:t>GP Enhanced Service or with vaccination centres. This may be, for</w:t>
      </w:r>
      <w:r w:rsidRPr="00627C30">
        <w:rPr>
          <w:rFonts w:eastAsiaTheme="minorEastAsia"/>
          <w:bCs/>
        </w:rPr>
        <w:br/>
        <w:t>example, to increase capacity or target certain populations such as care</w:t>
      </w:r>
      <w:r w:rsidRPr="00627C30">
        <w:rPr>
          <w:rFonts w:eastAsiaTheme="minorEastAsia"/>
          <w:bCs/>
        </w:rPr>
        <w:br/>
        <w:t>homes by entering into a sub-contracting agreement. PCN groupings would</w:t>
      </w:r>
      <w:r w:rsidRPr="00627C30">
        <w:rPr>
          <w:rFonts w:eastAsiaTheme="minorEastAsia"/>
          <w:bCs/>
        </w:rPr>
        <w:br/>
        <w:t>be responsible for meeting the costs of any additional paid workforce.</w:t>
      </w:r>
    </w:p>
    <w:p w:rsidR="00F41973" w:rsidRPr="00627C30" w:rsidRDefault="00F41973" w:rsidP="00217C26">
      <w:pPr>
        <w:pStyle w:val="ListParagraph"/>
        <w:numPr>
          <w:ilvl w:val="0"/>
          <w:numId w:val="1"/>
        </w:numPr>
        <w:spacing w:before="200"/>
        <w:rPr>
          <w:rFonts w:eastAsiaTheme="minorEastAsia"/>
          <w:bCs/>
        </w:rPr>
      </w:pPr>
      <w:r w:rsidRPr="00627C30">
        <w:rPr>
          <w:rFonts w:eastAsiaTheme="minorEastAsia"/>
          <w:bCs/>
        </w:rPr>
        <w:t>NHS England and NHS Improvement regional teams will also commission</w:t>
      </w:r>
      <w:r w:rsidRPr="00627C30">
        <w:rPr>
          <w:rFonts w:eastAsiaTheme="minorEastAsia"/>
          <w:bCs/>
        </w:rPr>
        <w:br/>
        <w:t>selected community pharmacy contractors who are able to meet the</w:t>
      </w:r>
      <w:r w:rsidRPr="00627C30">
        <w:rPr>
          <w:rFonts w:eastAsiaTheme="minorEastAsia"/>
          <w:bCs/>
        </w:rPr>
        <w:br/>
        <w:t xml:space="preserve">requirements to provide a COVID-19 vaccination service from </w:t>
      </w:r>
      <w:proofErr w:type="spellStart"/>
      <w:r w:rsidRPr="00627C30">
        <w:rPr>
          <w:rFonts w:eastAsiaTheme="minorEastAsia"/>
          <w:bCs/>
        </w:rPr>
        <w:t>pharmacyled</w:t>
      </w:r>
      <w:proofErr w:type="spellEnd"/>
      <w:r w:rsidRPr="00627C30">
        <w:rPr>
          <w:rFonts w:eastAsiaTheme="minorEastAsia"/>
          <w:bCs/>
        </w:rPr>
        <w:t xml:space="preserve"> designated sites. </w:t>
      </w:r>
    </w:p>
    <w:p w:rsidR="00F41973" w:rsidRDefault="00627C30" w:rsidP="00F41973">
      <w:pPr>
        <w:spacing w:before="200"/>
        <w:rPr>
          <w:rFonts w:eastAsiaTheme="minorEastAsia"/>
          <w:bCs/>
        </w:rPr>
      </w:pPr>
      <w:r>
        <w:rPr>
          <w:rFonts w:eastAsiaTheme="minorEastAsia"/>
          <w:bCs/>
        </w:rPr>
        <w:t>The letter</w:t>
      </w:r>
      <w:r w:rsidR="00F41973" w:rsidRPr="00F41973">
        <w:rPr>
          <w:rFonts w:eastAsiaTheme="minorEastAsia"/>
          <w:bCs/>
        </w:rPr>
        <w:t xml:space="preserve"> also sets out a provisional timetable</w:t>
      </w:r>
      <w:r>
        <w:rPr>
          <w:rFonts w:eastAsiaTheme="minorEastAsia"/>
          <w:bCs/>
        </w:rPr>
        <w:t>.</w:t>
      </w:r>
    </w:p>
    <w:p w:rsidR="00627C30" w:rsidRPr="00627C30" w:rsidRDefault="00627C30" w:rsidP="00627C30">
      <w:pPr>
        <w:spacing w:before="200"/>
        <w:rPr>
          <w:rFonts w:eastAsiaTheme="minorEastAsia"/>
        </w:rPr>
      </w:pPr>
      <w:r>
        <w:rPr>
          <w:rFonts w:eastAsiaTheme="minorEastAsia"/>
          <w:bCs/>
        </w:rPr>
        <w:t xml:space="preserve">Full detail: </w:t>
      </w:r>
      <w:hyperlink r:id="rId27" w:history="1">
        <w:r w:rsidRPr="00627C30">
          <w:rPr>
            <w:rStyle w:val="Hyperlink"/>
            <w:rFonts w:eastAsiaTheme="minorEastAsia"/>
          </w:rPr>
          <w:t>Urgent preparing for community pharmacy to contribute to a potential Covid-19 vaccination programme</w:t>
        </w:r>
      </w:hyperlink>
      <w:r w:rsidR="00F3226C">
        <w:rPr>
          <w:rFonts w:eastAsiaTheme="minorEastAsia"/>
        </w:rPr>
        <w:br/>
      </w:r>
    </w:p>
    <w:p w:rsidR="00F41973" w:rsidRDefault="00F41973" w:rsidP="00F3226C">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F3226C" w:rsidRPr="00F3226C">
        <w:rPr>
          <w:rFonts w:eastAsiaTheme="minorEastAsia"/>
          <w:caps/>
          <w:spacing w:val="15"/>
        </w:rPr>
        <w:t>Joint Committee on Vaccination and</w:t>
      </w:r>
      <w:r w:rsidR="00F3226C">
        <w:rPr>
          <w:rFonts w:eastAsiaTheme="minorEastAsia"/>
          <w:caps/>
          <w:spacing w:val="15"/>
        </w:rPr>
        <w:t xml:space="preserve"> </w:t>
      </w:r>
      <w:r w:rsidR="00F3226C" w:rsidRPr="00F3226C">
        <w:rPr>
          <w:rFonts w:eastAsiaTheme="minorEastAsia"/>
          <w:caps/>
          <w:spacing w:val="15"/>
        </w:rPr>
        <w:t>Immunisation: advice on priority groups for</w:t>
      </w:r>
      <w:r w:rsidR="00F3226C">
        <w:rPr>
          <w:rFonts w:eastAsiaTheme="minorEastAsia"/>
          <w:caps/>
          <w:spacing w:val="15"/>
        </w:rPr>
        <w:t xml:space="preserve"> </w:t>
      </w:r>
      <w:r w:rsidR="00F3226C" w:rsidRPr="00F3226C">
        <w:rPr>
          <w:rFonts w:eastAsiaTheme="minorEastAsia"/>
          <w:caps/>
          <w:spacing w:val="15"/>
        </w:rPr>
        <w:t>COVID-19 vaccination</w:t>
      </w:r>
    </w:p>
    <w:p w:rsidR="00F41973" w:rsidRDefault="00F3226C" w:rsidP="00B5385F">
      <w:pPr>
        <w:spacing w:before="200"/>
        <w:rPr>
          <w:rFonts w:eastAsiaTheme="minorEastAsia"/>
          <w:bCs/>
        </w:rPr>
      </w:pPr>
      <w:r w:rsidRPr="00F3226C">
        <w:rPr>
          <w:rFonts w:eastAsiaTheme="minorEastAsia"/>
          <w:bCs/>
        </w:rPr>
        <w:t>Joint Committee on Vaccination and Immunisation</w:t>
      </w:r>
      <w:r>
        <w:rPr>
          <w:rFonts w:eastAsiaTheme="minorEastAsia"/>
          <w:bCs/>
        </w:rPr>
        <w:t xml:space="preserve"> | 2</w:t>
      </w:r>
      <w:r w:rsidRPr="00F3226C">
        <w:rPr>
          <w:rFonts w:eastAsiaTheme="minorEastAsia"/>
          <w:bCs/>
          <w:vertAlign w:val="superscript"/>
        </w:rPr>
        <w:t>nd</w:t>
      </w:r>
      <w:r>
        <w:rPr>
          <w:rFonts w:eastAsiaTheme="minorEastAsia"/>
          <w:bCs/>
        </w:rPr>
        <w:t xml:space="preserve"> December 2020</w:t>
      </w:r>
    </w:p>
    <w:p w:rsidR="00F3226C" w:rsidRPr="00F3226C" w:rsidRDefault="00F3226C" w:rsidP="00F3226C">
      <w:pPr>
        <w:spacing w:before="200"/>
        <w:rPr>
          <w:rFonts w:eastAsiaTheme="minorEastAsia"/>
          <w:bCs/>
        </w:rPr>
      </w:pPr>
      <w:r w:rsidRPr="00F3226C">
        <w:rPr>
          <w:rFonts w:eastAsiaTheme="minorEastAsia"/>
          <w:bCs/>
        </w:rPr>
        <w:t>This advice is provided to facilitate the development of policy on Covid-19 vaccination in the UK.</w:t>
      </w:r>
    </w:p>
    <w:p w:rsidR="00F3226C" w:rsidRDefault="00F3226C" w:rsidP="00B5385F">
      <w:pPr>
        <w:spacing w:before="200"/>
        <w:rPr>
          <w:rFonts w:eastAsiaTheme="minorEastAsia"/>
          <w:bCs/>
        </w:rPr>
      </w:pPr>
      <w:r>
        <w:rPr>
          <w:rFonts w:eastAsiaTheme="minorEastAsia"/>
          <w:bCs/>
        </w:rPr>
        <w:t xml:space="preserve">Full detail: </w:t>
      </w:r>
      <w:hyperlink r:id="rId28" w:history="1">
        <w:r w:rsidRPr="00F3226C">
          <w:rPr>
            <w:rStyle w:val="Hyperlink"/>
            <w:rFonts w:eastAsiaTheme="minorEastAsia"/>
            <w:bCs/>
          </w:rPr>
          <w:t>Joint Committee on Vaccination and Immunisation: advice on priority groups for COVID-19 vaccination</w:t>
        </w:r>
      </w:hyperlink>
      <w:r w:rsidR="0013740F">
        <w:rPr>
          <w:rFonts w:eastAsiaTheme="minorEastAsia"/>
          <w:bCs/>
        </w:rPr>
        <w:br/>
      </w:r>
    </w:p>
    <w:p w:rsidR="00F41973" w:rsidRDefault="00F41973" w:rsidP="00F41973">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13740F" w:rsidRPr="0013740F">
        <w:rPr>
          <w:rFonts w:eastAsiaTheme="minorEastAsia"/>
          <w:caps/>
          <w:spacing w:val="15"/>
        </w:rPr>
        <w:t>SARS-CoV-2 (COVID-19) superspreader events</w:t>
      </w:r>
    </w:p>
    <w:p w:rsidR="00F41973" w:rsidRDefault="0013740F" w:rsidP="00B5385F">
      <w:pPr>
        <w:spacing w:before="200"/>
        <w:rPr>
          <w:rFonts w:eastAsiaTheme="minorEastAsia"/>
          <w:bCs/>
        </w:rPr>
      </w:pPr>
      <w:r>
        <w:rPr>
          <w:rFonts w:eastAsiaTheme="minorEastAsia"/>
          <w:bCs/>
        </w:rPr>
        <w:t>Journal of Infection| 24</w:t>
      </w:r>
      <w:r w:rsidRPr="0013740F">
        <w:rPr>
          <w:rFonts w:eastAsiaTheme="minorEastAsia"/>
          <w:bCs/>
          <w:vertAlign w:val="superscript"/>
        </w:rPr>
        <w:t>th</w:t>
      </w:r>
      <w:r>
        <w:rPr>
          <w:rFonts w:eastAsiaTheme="minorEastAsia"/>
          <w:bCs/>
        </w:rPr>
        <w:t xml:space="preserve"> November 2020</w:t>
      </w:r>
    </w:p>
    <w:p w:rsidR="0013740F" w:rsidRDefault="0013740F" w:rsidP="00B5385F">
      <w:pPr>
        <w:spacing w:before="200"/>
        <w:rPr>
          <w:rFonts w:eastAsiaTheme="minorEastAsia"/>
          <w:bCs/>
        </w:rPr>
      </w:pPr>
      <w:r w:rsidRPr="0013740F">
        <w:rPr>
          <w:rFonts w:eastAsiaTheme="minorEastAsia"/>
          <w:bCs/>
        </w:rPr>
        <w:t xml:space="preserve">Following review, authors categorise super spreader events (SSEs) into ‘societal’ - all members can potentially transmit virus to outside communities, and ‘isolated’ - few members can potentially transmit virus. Environmental factors have a substantial role in SSEs. </w:t>
      </w:r>
    </w:p>
    <w:p w:rsidR="0013740F" w:rsidRDefault="0013740F" w:rsidP="00B5385F">
      <w:pPr>
        <w:spacing w:before="200"/>
        <w:rPr>
          <w:rFonts w:eastAsiaTheme="minorEastAsia"/>
          <w:bCs/>
        </w:rPr>
      </w:pPr>
      <w:r w:rsidRPr="0013740F">
        <w:rPr>
          <w:rFonts w:eastAsiaTheme="minorEastAsia"/>
          <w:bCs/>
        </w:rPr>
        <w:t xml:space="preserve">‘Societal’ SSEs pose a significant threat as members of the event are free to mingle and can infect individuals in the outside community. </w:t>
      </w:r>
    </w:p>
    <w:p w:rsidR="0013740F" w:rsidRDefault="0013740F" w:rsidP="00B5385F">
      <w:pPr>
        <w:spacing w:before="200"/>
        <w:rPr>
          <w:rFonts w:eastAsiaTheme="minorEastAsia"/>
          <w:bCs/>
        </w:rPr>
      </w:pPr>
      <w:r w:rsidRPr="0013740F">
        <w:rPr>
          <w:rFonts w:eastAsiaTheme="minorEastAsia"/>
          <w:bCs/>
        </w:rPr>
        <w:t xml:space="preserve"> 'Isolated’ SSEs can be effectively quarantined as only a few individuals can transmit the virus from the isolated community to the outside community, therefore lowering further societal infection</w:t>
      </w:r>
      <w:r>
        <w:rPr>
          <w:rFonts w:eastAsiaTheme="minorEastAsia"/>
          <w:bCs/>
        </w:rPr>
        <w:t>.</w:t>
      </w:r>
    </w:p>
    <w:p w:rsidR="0013740F" w:rsidRDefault="0013740F" w:rsidP="0013740F">
      <w:pPr>
        <w:spacing w:before="200"/>
        <w:rPr>
          <w:rFonts w:eastAsiaTheme="minorEastAsia"/>
          <w:bCs/>
        </w:rPr>
      </w:pPr>
      <w:r>
        <w:rPr>
          <w:rFonts w:eastAsiaTheme="minorEastAsia"/>
          <w:bCs/>
        </w:rPr>
        <w:t xml:space="preserve">Full review: </w:t>
      </w:r>
      <w:hyperlink r:id="rId29" w:history="1">
        <w:r w:rsidRPr="0013740F">
          <w:rPr>
            <w:rStyle w:val="Hyperlink"/>
            <w:rFonts w:eastAsiaTheme="minorEastAsia"/>
            <w:bCs/>
          </w:rPr>
          <w:t xml:space="preserve">SARS-CoV-2 (COVID-19) </w:t>
        </w:r>
        <w:proofErr w:type="spellStart"/>
        <w:r w:rsidRPr="0013740F">
          <w:rPr>
            <w:rStyle w:val="Hyperlink"/>
            <w:rFonts w:eastAsiaTheme="minorEastAsia"/>
            <w:bCs/>
          </w:rPr>
          <w:t>superspreader</w:t>
        </w:r>
        <w:proofErr w:type="spellEnd"/>
        <w:r w:rsidRPr="0013740F">
          <w:rPr>
            <w:rStyle w:val="Hyperlink"/>
            <w:rFonts w:eastAsiaTheme="minorEastAsia"/>
            <w:bCs/>
          </w:rPr>
          <w:t xml:space="preserve"> events</w:t>
        </w:r>
      </w:hyperlink>
      <w:r>
        <w:rPr>
          <w:rFonts w:eastAsiaTheme="minorEastAsia"/>
          <w:bCs/>
        </w:rPr>
        <w:br/>
      </w:r>
    </w:p>
    <w:p w:rsidR="00FE1DF9" w:rsidRPr="0013740F" w:rsidRDefault="00FE1DF9" w:rsidP="0013740F">
      <w:pPr>
        <w:spacing w:before="200"/>
        <w:rPr>
          <w:rFonts w:eastAsiaTheme="minorEastAsia"/>
          <w:bCs/>
        </w:rPr>
      </w:pPr>
    </w:p>
    <w:p w:rsidR="00F41973" w:rsidRDefault="00F41973" w:rsidP="00F41973">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0013740F" w:rsidRPr="0013740F">
        <w:rPr>
          <w:rFonts w:eastAsiaTheme="minorEastAsia"/>
          <w:caps/>
          <w:spacing w:val="15"/>
        </w:rPr>
        <w:t>Mitigating risks of SARS-CoV-2 transmission associated with household social interactions</w:t>
      </w:r>
    </w:p>
    <w:p w:rsidR="00F41973" w:rsidRDefault="00946A5E" w:rsidP="00946A5E">
      <w:pPr>
        <w:spacing w:before="200"/>
        <w:rPr>
          <w:rFonts w:eastAsiaTheme="minorEastAsia"/>
          <w:bCs/>
        </w:rPr>
      </w:pPr>
      <w:r w:rsidRPr="00946A5E">
        <w:rPr>
          <w:rFonts w:eastAsiaTheme="minorEastAsia"/>
          <w:bCs/>
        </w:rPr>
        <w:t>Scientific Advisory Group for Emergencies</w:t>
      </w:r>
      <w:r>
        <w:rPr>
          <w:rFonts w:eastAsiaTheme="minorEastAsia"/>
          <w:bCs/>
        </w:rPr>
        <w:t xml:space="preserve"> | 26</w:t>
      </w:r>
      <w:r w:rsidRPr="00946A5E">
        <w:rPr>
          <w:rFonts w:eastAsiaTheme="minorEastAsia"/>
          <w:bCs/>
          <w:vertAlign w:val="superscript"/>
        </w:rPr>
        <w:t>th</w:t>
      </w:r>
      <w:r>
        <w:rPr>
          <w:rFonts w:eastAsiaTheme="minorEastAsia"/>
          <w:bCs/>
        </w:rPr>
        <w:t xml:space="preserve"> November 2020</w:t>
      </w:r>
    </w:p>
    <w:p w:rsidR="00946A5E" w:rsidRDefault="00946A5E" w:rsidP="00946A5E">
      <w:pPr>
        <w:spacing w:before="200"/>
        <w:rPr>
          <w:rFonts w:eastAsiaTheme="minorEastAsia"/>
          <w:bCs/>
        </w:rPr>
      </w:pPr>
      <w:r w:rsidRPr="00946A5E">
        <w:rPr>
          <w:rFonts w:eastAsiaTheme="minorEastAsia"/>
          <w:bCs/>
        </w:rPr>
        <w:t>This paper summarises current evidence on actions to mitigate risks of transmission of SARS-CoV-2 associated with social interactions with people from outside a household, with a particular foc</w:t>
      </w:r>
      <w:r>
        <w:rPr>
          <w:rFonts w:eastAsiaTheme="minorEastAsia"/>
          <w:bCs/>
        </w:rPr>
        <w:t xml:space="preserve">us on activities in the home. </w:t>
      </w:r>
      <w:r w:rsidRPr="00946A5E">
        <w:rPr>
          <w:rFonts w:eastAsiaTheme="minorEastAsia"/>
          <w:bCs/>
        </w:rPr>
        <w:t xml:space="preserve">This may be relevant to a wide variety of contexts, ranging from hosting a small number of visitors through to larger family celebrations, and including national celebrations such as Christmas, Diwali, Eid, </w:t>
      </w:r>
      <w:proofErr w:type="spellStart"/>
      <w:r w:rsidRPr="00946A5E">
        <w:rPr>
          <w:rFonts w:eastAsiaTheme="minorEastAsia"/>
          <w:bCs/>
        </w:rPr>
        <w:t>Hannukah</w:t>
      </w:r>
      <w:proofErr w:type="spellEnd"/>
      <w:r w:rsidRPr="00946A5E">
        <w:rPr>
          <w:rFonts w:eastAsiaTheme="minorEastAsia"/>
          <w:bCs/>
        </w:rPr>
        <w:t>, etc</w:t>
      </w:r>
      <w:r>
        <w:rPr>
          <w:rFonts w:eastAsiaTheme="minorEastAsia"/>
          <w:bCs/>
        </w:rPr>
        <w:t>.</w:t>
      </w:r>
    </w:p>
    <w:p w:rsidR="00946A5E" w:rsidRDefault="00946A5E" w:rsidP="00946A5E">
      <w:pPr>
        <w:spacing w:before="200"/>
        <w:rPr>
          <w:rFonts w:eastAsiaTheme="minorEastAsia"/>
          <w:bCs/>
        </w:rPr>
      </w:pPr>
      <w:r>
        <w:rPr>
          <w:rFonts w:eastAsiaTheme="minorEastAsia"/>
          <w:bCs/>
        </w:rPr>
        <w:t xml:space="preserve">Full detail: </w:t>
      </w:r>
      <w:r w:rsidRPr="00946A5E">
        <w:rPr>
          <w:rFonts w:eastAsiaTheme="minorEastAsia"/>
          <w:bCs/>
        </w:rPr>
        <w:t xml:space="preserve"> </w:t>
      </w:r>
      <w:hyperlink r:id="rId30" w:history="1">
        <w:r w:rsidRPr="00946A5E">
          <w:rPr>
            <w:rStyle w:val="Hyperlink"/>
            <w:rFonts w:eastAsiaTheme="minorEastAsia"/>
            <w:bCs/>
          </w:rPr>
          <w:t>Mitigating risks of SARS-CoV-2 transmission associated with household social interactions</w:t>
        </w:r>
      </w:hyperlink>
    </w:p>
    <w:p w:rsidR="00946A5E" w:rsidRDefault="00946A5E" w:rsidP="00946A5E">
      <w:pPr>
        <w:spacing w:before="200"/>
        <w:rPr>
          <w:rFonts w:eastAsiaTheme="minorEastAsia"/>
          <w:bCs/>
        </w:rPr>
      </w:pPr>
    </w:p>
    <w:p w:rsidR="00F41973" w:rsidRDefault="00F41973" w:rsidP="00F41973">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00946A5E">
        <w:rPr>
          <w:rFonts w:eastAsiaTheme="minorEastAsia"/>
          <w:b/>
          <w:caps/>
          <w:spacing w:val="15"/>
        </w:rPr>
        <w:t xml:space="preserve">: </w:t>
      </w:r>
      <w:r w:rsidR="00946A5E" w:rsidRPr="00946A5E">
        <w:rPr>
          <w:rFonts w:eastAsiaTheme="minorEastAsia"/>
          <w:caps/>
          <w:spacing w:val="15"/>
        </w:rPr>
        <w:t>Outdoor Transmission of SARS-CoV-2 and Other Respiratory Viruses, a Systematic Review</w:t>
      </w:r>
    </w:p>
    <w:p w:rsidR="00F41973" w:rsidRDefault="00946A5E" w:rsidP="00B5385F">
      <w:pPr>
        <w:spacing w:before="200"/>
        <w:rPr>
          <w:rFonts w:eastAsiaTheme="minorEastAsia"/>
          <w:bCs/>
        </w:rPr>
      </w:pPr>
      <w:r w:rsidRPr="00946A5E">
        <w:rPr>
          <w:rFonts w:eastAsiaTheme="minorEastAsia"/>
          <w:bCs/>
        </w:rPr>
        <w:t>The Journal of Infectious Diseases</w:t>
      </w:r>
      <w:r>
        <w:rPr>
          <w:rFonts w:eastAsiaTheme="minorEastAsia"/>
          <w:bCs/>
        </w:rPr>
        <w:t xml:space="preserve"> | </w:t>
      </w:r>
      <w:r w:rsidR="00335522">
        <w:rPr>
          <w:rFonts w:eastAsiaTheme="minorEastAsia"/>
          <w:bCs/>
        </w:rPr>
        <w:t>29</w:t>
      </w:r>
      <w:r w:rsidR="00335522" w:rsidRPr="00335522">
        <w:rPr>
          <w:rFonts w:eastAsiaTheme="minorEastAsia"/>
          <w:bCs/>
          <w:vertAlign w:val="superscript"/>
        </w:rPr>
        <w:t>th</w:t>
      </w:r>
      <w:r w:rsidR="00335522">
        <w:rPr>
          <w:rFonts w:eastAsiaTheme="minorEastAsia"/>
          <w:bCs/>
        </w:rPr>
        <w:t xml:space="preserve"> November 2020</w:t>
      </w:r>
    </w:p>
    <w:p w:rsidR="00335522" w:rsidRDefault="00335522" w:rsidP="00B5385F">
      <w:pPr>
        <w:spacing w:before="200"/>
        <w:rPr>
          <w:rFonts w:eastAsiaTheme="minorEastAsia"/>
          <w:bCs/>
        </w:rPr>
      </w:pPr>
      <w:r w:rsidRPr="00335522">
        <w:rPr>
          <w:rFonts w:eastAsiaTheme="minorEastAsia"/>
          <w:bCs/>
        </w:rPr>
        <w:t>A systematic review of papers describing cases of human transmission of SARS-CoV-2 was used to investigate risk of outdoor transmission. Reports of other respiratory virus transmission</w:t>
      </w:r>
      <w:r>
        <w:rPr>
          <w:rFonts w:eastAsiaTheme="minorEastAsia"/>
          <w:bCs/>
        </w:rPr>
        <w:t xml:space="preserve"> were included for reference. </w:t>
      </w:r>
    </w:p>
    <w:p w:rsidR="00335522" w:rsidRDefault="00335522" w:rsidP="00B5385F">
      <w:pPr>
        <w:spacing w:before="200"/>
        <w:rPr>
          <w:rFonts w:eastAsiaTheme="minorEastAsia"/>
          <w:bCs/>
        </w:rPr>
      </w:pPr>
      <w:r w:rsidRPr="00335522">
        <w:rPr>
          <w:rFonts w:eastAsiaTheme="minorEastAsia"/>
          <w:bCs/>
        </w:rPr>
        <w:t>Five identified studies found a low proportion of reported global SARS-CoV-2 infections have occurred outdoors (</w:t>
      </w:r>
      <w:r>
        <w:rPr>
          <w:rFonts w:eastAsiaTheme="minorEastAsia"/>
          <w:bCs/>
        </w:rPr>
        <w:t xml:space="preserve">&lt;10%) </w:t>
      </w:r>
      <w:r w:rsidRPr="00335522">
        <w:rPr>
          <w:rFonts w:eastAsiaTheme="minorEastAsia"/>
          <w:bCs/>
        </w:rPr>
        <w:t>and the odds of indoor transmission was very high compared to outdoors (</w:t>
      </w:r>
      <w:r>
        <w:rPr>
          <w:rFonts w:eastAsiaTheme="minorEastAsia"/>
          <w:bCs/>
        </w:rPr>
        <w:t xml:space="preserve">18.7 times; 95% CI 6.0, 57.9). </w:t>
      </w:r>
      <w:r w:rsidRPr="00335522">
        <w:rPr>
          <w:rFonts w:eastAsiaTheme="minorEastAsia"/>
          <w:bCs/>
        </w:rPr>
        <w:t xml:space="preserve"> Factors associated with outdoor reports of infection included duration and frequency of personal contact, lack of personal protective equipment, and occasional indoor gathering during a largely outdoor experience.</w:t>
      </w:r>
    </w:p>
    <w:p w:rsidR="00335522" w:rsidRDefault="00335522" w:rsidP="00B5385F">
      <w:pPr>
        <w:spacing w:before="200"/>
        <w:rPr>
          <w:rFonts w:eastAsiaTheme="minorEastAsia"/>
          <w:bCs/>
        </w:rPr>
      </w:pPr>
      <w:r>
        <w:rPr>
          <w:rFonts w:eastAsiaTheme="minorEastAsia"/>
          <w:bCs/>
        </w:rPr>
        <w:t xml:space="preserve">Full paper: </w:t>
      </w:r>
      <w:hyperlink r:id="rId31" w:history="1">
        <w:r w:rsidRPr="00335522">
          <w:rPr>
            <w:rStyle w:val="Hyperlink"/>
            <w:rFonts w:eastAsiaTheme="minorEastAsia"/>
            <w:bCs/>
          </w:rPr>
          <w:t>Outdoor Transmission of SARS-CoV-2 and Other Respiratory Viruses, a Systematic Review</w:t>
        </w:r>
      </w:hyperlink>
    </w:p>
    <w:p w:rsidR="00B5385F" w:rsidRDefault="00B5385F" w:rsidP="00B5385F">
      <w:pPr>
        <w:spacing w:before="200"/>
        <w:rPr>
          <w:rFonts w:eastAsiaTheme="minorEastAsia"/>
          <w:bCs/>
        </w:rPr>
      </w:pPr>
    </w:p>
    <w:p w:rsidR="00312E5E" w:rsidRDefault="00B5385F" w:rsidP="00312E5E">
      <w:pPr>
        <w:pBdr>
          <w:top w:val="single" w:sz="6" w:space="2" w:color="D4802C"/>
          <w:left w:val="single" w:sz="6" w:space="2" w:color="D4802C"/>
        </w:pBdr>
        <w:spacing w:before="300" w:after="0"/>
        <w:outlineLvl w:val="2"/>
        <w:rPr>
          <w:rFonts w:eastAsiaTheme="minorEastAsia"/>
        </w:rPr>
      </w:pPr>
      <w:bookmarkStart w:id="2" w:name="_Toc491341627"/>
      <w:r w:rsidRPr="00627D72">
        <w:rPr>
          <w:rFonts w:eastAsiaTheme="minorEastAsia"/>
          <w:b/>
          <w:caps/>
          <w:spacing w:val="15"/>
        </w:rPr>
        <w:t>Title</w:t>
      </w:r>
      <w:r w:rsidRPr="00627D72">
        <w:rPr>
          <w:rFonts w:eastAsiaTheme="minorEastAsia"/>
          <w:caps/>
          <w:spacing w:val="15"/>
        </w:rPr>
        <w:t xml:space="preserve">: </w:t>
      </w:r>
      <w:bookmarkEnd w:id="2"/>
      <w:r w:rsidR="005E0580" w:rsidRPr="005E0580">
        <w:rPr>
          <w:rFonts w:eastAsiaTheme="minorEastAsia"/>
          <w:caps/>
          <w:spacing w:val="15"/>
        </w:rPr>
        <w:t>Moderna Announces Primary Efficacy Analysis in Phase 3 COVE Study for Its COVID-19 Va</w:t>
      </w:r>
      <w:r w:rsidR="005E0580">
        <w:rPr>
          <w:rFonts w:eastAsiaTheme="minorEastAsia"/>
          <w:caps/>
          <w:spacing w:val="15"/>
        </w:rPr>
        <w:t>ccine Candidate and Filing</w:t>
      </w:r>
      <w:r w:rsidR="005E0580" w:rsidRPr="005E0580">
        <w:rPr>
          <w:rFonts w:eastAsiaTheme="minorEastAsia"/>
          <w:caps/>
          <w:spacing w:val="15"/>
        </w:rPr>
        <w:t xml:space="preserve"> with U.S. FDA for Emergency Use Authorization</w:t>
      </w:r>
    </w:p>
    <w:p w:rsidR="002F29D4" w:rsidRDefault="005E0580" w:rsidP="002F29D4">
      <w:pPr>
        <w:spacing w:before="200"/>
        <w:rPr>
          <w:rFonts w:eastAsiaTheme="minorEastAsia"/>
        </w:rPr>
      </w:pPr>
      <w:proofErr w:type="spellStart"/>
      <w:r>
        <w:rPr>
          <w:rFonts w:eastAsiaTheme="minorEastAsia"/>
        </w:rPr>
        <w:t>Moderna</w:t>
      </w:r>
      <w:proofErr w:type="spellEnd"/>
      <w:r>
        <w:rPr>
          <w:rFonts w:eastAsiaTheme="minorEastAsia"/>
        </w:rPr>
        <w:t xml:space="preserve"> | 30</w:t>
      </w:r>
      <w:r w:rsidRPr="005E0580">
        <w:rPr>
          <w:rFonts w:eastAsiaTheme="minorEastAsia"/>
          <w:vertAlign w:val="superscript"/>
        </w:rPr>
        <w:t>th</w:t>
      </w:r>
      <w:r>
        <w:rPr>
          <w:rFonts w:eastAsiaTheme="minorEastAsia"/>
        </w:rPr>
        <w:t xml:space="preserve"> November 2020</w:t>
      </w:r>
    </w:p>
    <w:p w:rsidR="005E0580" w:rsidRDefault="005E0580" w:rsidP="005E0580">
      <w:pPr>
        <w:spacing w:before="200"/>
        <w:rPr>
          <w:rFonts w:eastAsiaTheme="minorEastAsia"/>
        </w:rPr>
      </w:pPr>
      <w:r w:rsidRPr="005E0580">
        <w:rPr>
          <w:rFonts w:eastAsiaTheme="minorEastAsia"/>
        </w:rPr>
        <w:t xml:space="preserve">Primary efficacy analysis of the Phase 3 COVE study of mRNA-1273 involving 30,000 participants included 196 cases of COVID-19, </w:t>
      </w:r>
      <w:r>
        <w:rPr>
          <w:rFonts w:eastAsiaTheme="minorEastAsia"/>
        </w:rPr>
        <w:t>of which 30 cases were severe:</w:t>
      </w:r>
    </w:p>
    <w:p w:rsidR="005E0580" w:rsidRDefault="005E0580" w:rsidP="005E0580">
      <w:pPr>
        <w:spacing w:before="200"/>
        <w:rPr>
          <w:rFonts w:eastAsiaTheme="minorEastAsia"/>
        </w:rPr>
      </w:pPr>
      <w:r w:rsidRPr="005E0580">
        <w:rPr>
          <w:rFonts w:eastAsiaTheme="minorEastAsia"/>
        </w:rPr>
        <w:t>Vaccine efficacy against COVID-19 was 94.1%; vaccine efficacy against severe COVID-19 was 100%.</w:t>
      </w:r>
    </w:p>
    <w:p w:rsidR="005E0580" w:rsidRDefault="005E0580" w:rsidP="005E0580">
      <w:pPr>
        <w:spacing w:before="200"/>
        <w:rPr>
          <w:rFonts w:eastAsiaTheme="minorEastAsia"/>
        </w:rPr>
      </w:pPr>
      <w:r w:rsidRPr="005E0580">
        <w:rPr>
          <w:rFonts w:eastAsiaTheme="minorEastAsia"/>
        </w:rPr>
        <w:t xml:space="preserve"> mRNA-1273 continues to be generally well tolerated; no serious safety concerns identified to date.</w:t>
      </w:r>
    </w:p>
    <w:p w:rsidR="005E0580" w:rsidRPr="005E0580" w:rsidRDefault="005E0580" w:rsidP="005E0580">
      <w:pPr>
        <w:spacing w:before="200"/>
        <w:rPr>
          <w:rFonts w:eastAsiaTheme="minorEastAsia"/>
        </w:rPr>
      </w:pPr>
      <w:r w:rsidRPr="005E0580">
        <w:rPr>
          <w:rFonts w:eastAsiaTheme="minorEastAsia"/>
        </w:rPr>
        <w:t>Phase 3 COVE Study has exceeded 2 months of median follow-up post vaccination as required by the U.S. FDA for Emergency Use Authorization (EUA).</w:t>
      </w:r>
      <w:r w:rsidR="00B40ECA">
        <w:rPr>
          <w:rFonts w:eastAsiaTheme="minorEastAsia"/>
        </w:rPr>
        <w:t xml:space="preserve"> </w:t>
      </w:r>
    </w:p>
    <w:p w:rsidR="005E0580" w:rsidRDefault="005E0580" w:rsidP="005E0580">
      <w:pPr>
        <w:spacing w:before="200"/>
        <w:rPr>
          <w:rStyle w:val="Hyperlink"/>
          <w:rFonts w:eastAsiaTheme="minorEastAsia"/>
        </w:rPr>
      </w:pPr>
      <w:r>
        <w:rPr>
          <w:rFonts w:eastAsiaTheme="minorEastAsia"/>
        </w:rPr>
        <w:t xml:space="preserve">Full detail: </w:t>
      </w:r>
      <w:hyperlink r:id="rId32" w:history="1">
        <w:proofErr w:type="spellStart"/>
        <w:r w:rsidRPr="005E0580">
          <w:rPr>
            <w:rStyle w:val="Hyperlink"/>
            <w:rFonts w:eastAsiaTheme="minorEastAsia"/>
          </w:rPr>
          <w:t>Moderna</w:t>
        </w:r>
        <w:proofErr w:type="spellEnd"/>
        <w:r w:rsidRPr="005E0580">
          <w:rPr>
            <w:rStyle w:val="Hyperlink"/>
            <w:rFonts w:eastAsiaTheme="minorEastAsia"/>
          </w:rPr>
          <w:t xml:space="preserve"> announces primary efficacy analysis in phase 3 cove study for its Covid-19 vaccine candidate and filing with U.S. FDA for emergency use authorization</w:t>
        </w:r>
      </w:hyperlink>
    </w:p>
    <w:p w:rsidR="00B40ECA" w:rsidRPr="005E0580" w:rsidRDefault="00B40ECA" w:rsidP="005E0580">
      <w:pPr>
        <w:spacing w:before="200"/>
        <w:rPr>
          <w:rFonts w:eastAsiaTheme="minorEastAsia"/>
        </w:rPr>
      </w:pPr>
      <w:r>
        <w:rPr>
          <w:rFonts w:eastAsiaTheme="minorEastAsia"/>
        </w:rPr>
        <w:t xml:space="preserve">See also: </w:t>
      </w:r>
      <w:hyperlink r:id="rId33" w:history="1">
        <w:proofErr w:type="spellStart"/>
        <w:r w:rsidRPr="000522F8">
          <w:rPr>
            <w:rStyle w:val="Hyperlink"/>
            <w:rFonts w:eastAsiaTheme="minorEastAsia"/>
          </w:rPr>
          <w:t>Moderna</w:t>
        </w:r>
        <w:proofErr w:type="spellEnd"/>
        <w:r w:rsidRPr="000522F8">
          <w:rPr>
            <w:rStyle w:val="Hyperlink"/>
            <w:rFonts w:eastAsiaTheme="minorEastAsia"/>
          </w:rPr>
          <w:t xml:space="preserve"> applies for US and EU approval as vaccine trial reports 94.1% efficacy</w:t>
        </w:r>
      </w:hyperlink>
      <w:r w:rsidR="000522F8">
        <w:rPr>
          <w:rFonts w:eastAsiaTheme="minorEastAsia"/>
        </w:rPr>
        <w:t xml:space="preserve"> | BMJ</w:t>
      </w:r>
      <w:r w:rsidR="00BB2352">
        <w:rPr>
          <w:rFonts w:eastAsiaTheme="minorEastAsia"/>
        </w:rPr>
        <w:br/>
      </w:r>
    </w:p>
    <w:p w:rsidR="008B37ED" w:rsidRDefault="008B37ED" w:rsidP="008B37E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8B37ED">
        <w:t xml:space="preserve"> </w:t>
      </w:r>
      <w:r w:rsidRPr="008B37ED">
        <w:rPr>
          <w:rFonts w:eastAsiaTheme="minorEastAsia"/>
          <w:caps/>
          <w:spacing w:val="15"/>
        </w:rPr>
        <w:t>Detecting COVID-19 infection hotspots in England using large-scale self-reported data from a mobile application</w:t>
      </w:r>
      <w:r>
        <w:rPr>
          <w:rFonts w:eastAsiaTheme="minorEastAsia"/>
          <w:b/>
          <w:caps/>
          <w:spacing w:val="15"/>
        </w:rPr>
        <w:t xml:space="preserve"> </w:t>
      </w:r>
    </w:p>
    <w:p w:rsidR="00420EC3" w:rsidRDefault="008B37ED" w:rsidP="002F29D4">
      <w:pPr>
        <w:spacing w:before="200"/>
        <w:rPr>
          <w:rFonts w:eastAsiaTheme="minorEastAsia"/>
        </w:rPr>
      </w:pPr>
      <w:r>
        <w:rPr>
          <w:rFonts w:eastAsiaTheme="minorEastAsia"/>
        </w:rPr>
        <w:t>The Lancet Public Health | 3</w:t>
      </w:r>
      <w:r w:rsidRPr="008B37ED">
        <w:rPr>
          <w:rFonts w:eastAsiaTheme="minorEastAsia"/>
          <w:vertAlign w:val="superscript"/>
        </w:rPr>
        <w:t>rd</w:t>
      </w:r>
      <w:r>
        <w:rPr>
          <w:rFonts w:eastAsiaTheme="minorEastAsia"/>
        </w:rPr>
        <w:t xml:space="preserve"> December 2020</w:t>
      </w:r>
    </w:p>
    <w:p w:rsidR="008B37ED" w:rsidRPr="008B37ED" w:rsidRDefault="008B37ED" w:rsidP="008B37ED">
      <w:pPr>
        <w:spacing w:before="200"/>
        <w:rPr>
          <w:rFonts w:eastAsiaTheme="minorEastAsia"/>
        </w:rPr>
      </w:pPr>
      <w:r w:rsidRPr="008B37ED">
        <w:rPr>
          <w:rFonts w:eastAsiaTheme="minorEastAsia"/>
        </w:rPr>
        <w:t xml:space="preserve">As many countries seek to slow the spread of COVID-19 without </w:t>
      </w:r>
      <w:proofErr w:type="spellStart"/>
      <w:r w:rsidRPr="008B37ED">
        <w:rPr>
          <w:rFonts w:eastAsiaTheme="minorEastAsia"/>
        </w:rPr>
        <w:t>reimposing</w:t>
      </w:r>
      <w:proofErr w:type="spellEnd"/>
      <w:r w:rsidRPr="008B37ED">
        <w:rPr>
          <w:rFonts w:eastAsiaTheme="minorEastAsia"/>
        </w:rPr>
        <w:t xml:space="preserve"> national restrictions, it has become important to track the disease at a local level to identify areas in need of targeted intervention.</w:t>
      </w:r>
    </w:p>
    <w:p w:rsidR="008B37ED" w:rsidRDefault="008B37ED" w:rsidP="002F29D4">
      <w:pPr>
        <w:spacing w:before="200"/>
        <w:rPr>
          <w:rFonts w:eastAsiaTheme="minorEastAsia"/>
        </w:rPr>
      </w:pPr>
      <w:r>
        <w:rPr>
          <w:rFonts w:eastAsiaTheme="minorEastAsia"/>
        </w:rPr>
        <w:t>T</w:t>
      </w:r>
      <w:r w:rsidRPr="008B37ED">
        <w:rPr>
          <w:rFonts w:eastAsiaTheme="minorEastAsia"/>
        </w:rPr>
        <w:t>his pros</w:t>
      </w:r>
      <w:r>
        <w:rPr>
          <w:rFonts w:eastAsiaTheme="minorEastAsia"/>
        </w:rPr>
        <w:t>pective, observational study</w:t>
      </w:r>
      <w:r w:rsidRPr="008B37ED">
        <w:rPr>
          <w:rFonts w:eastAsiaTheme="minorEastAsia"/>
        </w:rPr>
        <w:t xml:space="preserve"> did modelling using longitudinal, self-reported data from users of the COVID Symptom Study app in England between March 24, and Sept 29, 2020. </w:t>
      </w:r>
    </w:p>
    <w:p w:rsidR="008B37ED" w:rsidRDefault="008B37ED" w:rsidP="002F29D4">
      <w:pPr>
        <w:spacing w:before="200"/>
        <w:rPr>
          <w:rFonts w:eastAsiaTheme="minorEastAsia"/>
        </w:rPr>
      </w:pPr>
      <w:r>
        <w:rPr>
          <w:rFonts w:eastAsiaTheme="minorEastAsia"/>
        </w:rPr>
        <w:t>The authors concluded that their</w:t>
      </w:r>
      <w:r w:rsidRPr="008B37ED">
        <w:rPr>
          <w:rFonts w:eastAsiaTheme="minorEastAsia"/>
        </w:rPr>
        <w:t xml:space="preserve"> method could help to detect rapid case increases in regions where government testing provision is lower. Self-reported data from mobile applications can provide an agile resource to inform policy makers during a quickly moving pandemic, serving as a complementary resource to more traditional instruments for disease surveillance.</w:t>
      </w:r>
    </w:p>
    <w:p w:rsidR="008B37ED" w:rsidRDefault="008B37ED" w:rsidP="008B37ED">
      <w:pPr>
        <w:spacing w:before="200"/>
        <w:rPr>
          <w:rFonts w:eastAsiaTheme="minorEastAsia"/>
        </w:rPr>
      </w:pPr>
      <w:r>
        <w:rPr>
          <w:rFonts w:eastAsiaTheme="minorEastAsia"/>
        </w:rPr>
        <w:t xml:space="preserve">Full paper: </w:t>
      </w:r>
      <w:hyperlink r:id="rId34" w:history="1">
        <w:r w:rsidRPr="008B37ED">
          <w:rPr>
            <w:rStyle w:val="Hyperlink"/>
            <w:rFonts w:eastAsiaTheme="minorEastAsia"/>
          </w:rPr>
          <w:t>Detecting COVID-19 infection hotspots in England using large-scale self-reported data from a mobile application: a prospective, observational study</w:t>
        </w:r>
      </w:hyperlink>
    </w:p>
    <w:p w:rsidR="00B40ECA" w:rsidRDefault="00B40ECA" w:rsidP="008B37ED">
      <w:pPr>
        <w:spacing w:before="200"/>
        <w:rPr>
          <w:rFonts w:eastAsiaTheme="minorEastAsia"/>
        </w:rPr>
      </w:pPr>
    </w:p>
    <w:p w:rsidR="00B40ECA" w:rsidRPr="00B40ECA" w:rsidRDefault="00B40ECA" w:rsidP="00B40ECA">
      <w:pPr>
        <w:pBdr>
          <w:top w:val="single" w:sz="6" w:space="2" w:color="D4802C"/>
          <w:left w:val="single" w:sz="6" w:space="2" w:color="D4802C"/>
        </w:pBdr>
        <w:spacing w:before="300" w:after="0"/>
        <w:outlineLvl w:val="2"/>
      </w:pPr>
      <w:r w:rsidRPr="00B40ECA">
        <w:rPr>
          <w:rFonts w:eastAsiaTheme="minorEastAsia"/>
          <w:b/>
          <w:caps/>
          <w:spacing w:val="15"/>
        </w:rPr>
        <w:t>Title:</w:t>
      </w:r>
      <w:r w:rsidRPr="00B40ECA">
        <w:rPr>
          <w:rFonts w:eastAsiaTheme="minorEastAsia"/>
          <w:caps/>
          <w:spacing w:val="15"/>
        </w:rPr>
        <w:t xml:space="preserve"> Vaccinating the UK against covid-19</w:t>
      </w:r>
    </w:p>
    <w:p w:rsidR="00B40ECA" w:rsidRPr="00B40ECA" w:rsidRDefault="00B40ECA" w:rsidP="00B40ECA">
      <w:pPr>
        <w:spacing w:before="200"/>
        <w:rPr>
          <w:rFonts w:eastAsiaTheme="minorEastAsia"/>
        </w:rPr>
      </w:pPr>
      <w:r w:rsidRPr="00B40ECA">
        <w:rPr>
          <w:rFonts w:eastAsiaTheme="minorEastAsia"/>
        </w:rPr>
        <w:t>BMJ | 2020; 371: m4654 | 30</w:t>
      </w:r>
      <w:r w:rsidRPr="00B40ECA">
        <w:rPr>
          <w:rFonts w:eastAsiaTheme="minorEastAsia"/>
          <w:vertAlign w:val="superscript"/>
        </w:rPr>
        <w:t>th</w:t>
      </w:r>
      <w:r w:rsidRPr="00B40ECA">
        <w:rPr>
          <w:rFonts w:eastAsiaTheme="minorEastAsia"/>
        </w:rPr>
        <w:t xml:space="preserve"> November 2020</w:t>
      </w:r>
    </w:p>
    <w:p w:rsidR="00B40ECA" w:rsidRPr="00B40ECA" w:rsidRDefault="00B40ECA" w:rsidP="00B40ECA">
      <w:pPr>
        <w:spacing w:before="200"/>
        <w:rPr>
          <w:rFonts w:eastAsiaTheme="minorEastAsia"/>
          <w:b/>
          <w:bCs/>
        </w:rPr>
      </w:pPr>
      <w:r w:rsidRPr="00B40ECA">
        <w:rPr>
          <w:rFonts w:eastAsiaTheme="minorEastAsia"/>
        </w:rPr>
        <w:t>The global covid-19 pandemic has led to over 50 000 deaths in the UK, disrupted health services, and led to massive increases in unemployment and government debt.</w:t>
      </w:r>
      <w:r w:rsidRPr="00B40ECA">
        <w:rPr>
          <w:rFonts w:eastAsiaTheme="minorEastAsia"/>
          <w:b/>
          <w:bCs/>
        </w:rPr>
        <w:t xml:space="preserve"> </w:t>
      </w:r>
      <w:r w:rsidRPr="00B40ECA">
        <w:rPr>
          <w:rFonts w:eastAsiaTheme="minorEastAsia"/>
        </w:rPr>
        <w:t> Following the government’s failure to implement an effective test, trace, and isolate programme, mass vaccination against covid-19 offers us the best way to finally bring the pandemic under control.</w:t>
      </w:r>
    </w:p>
    <w:p w:rsidR="00B40ECA" w:rsidRPr="00B40ECA" w:rsidRDefault="00B40ECA" w:rsidP="00B40ECA">
      <w:pPr>
        <w:spacing w:before="200"/>
        <w:rPr>
          <w:rFonts w:eastAsiaTheme="minorEastAsia"/>
          <w:b/>
          <w:bCs/>
        </w:rPr>
      </w:pPr>
      <w:r w:rsidRPr="00B40ECA">
        <w:rPr>
          <w:rFonts w:eastAsiaTheme="minorEastAsia"/>
          <w:bCs/>
        </w:rPr>
        <w:t>This editorial states that</w:t>
      </w:r>
      <w:r w:rsidRPr="00B40ECA">
        <w:rPr>
          <w:rFonts w:eastAsiaTheme="minorEastAsia"/>
          <w:b/>
          <w:bCs/>
        </w:rPr>
        <w:t xml:space="preserve"> </w:t>
      </w:r>
      <w:r w:rsidRPr="00B40ECA">
        <w:rPr>
          <w:rFonts w:eastAsiaTheme="minorEastAsia"/>
        </w:rPr>
        <w:t>it is essential that the covid-19 vaccination programme is implemented well and avoids the many mistakes made during other components of the government’s response to covid-19.</w:t>
      </w:r>
    </w:p>
    <w:p w:rsidR="00BB2352" w:rsidRDefault="00B40ECA" w:rsidP="00B40ECA">
      <w:pPr>
        <w:spacing w:before="200"/>
        <w:rPr>
          <w:rFonts w:eastAsiaTheme="minorEastAsia"/>
          <w:bCs/>
        </w:rPr>
      </w:pPr>
      <w:r w:rsidRPr="00B40ECA">
        <w:rPr>
          <w:rFonts w:eastAsiaTheme="minorEastAsia"/>
          <w:bCs/>
        </w:rPr>
        <w:t xml:space="preserve">Full editorial: </w:t>
      </w:r>
      <w:hyperlink r:id="rId35" w:history="1">
        <w:r w:rsidRPr="00B40ECA">
          <w:rPr>
            <w:rFonts w:eastAsiaTheme="minorEastAsia"/>
            <w:bCs/>
            <w:color w:val="0000FF" w:themeColor="hyperlink"/>
            <w:u w:val="single"/>
          </w:rPr>
          <w:t>Vaccinating the UK against Covid-19</w:t>
        </w:r>
      </w:hyperlink>
      <w:r w:rsidR="00BB2352">
        <w:rPr>
          <w:rFonts w:eastAsiaTheme="minorEastAsia"/>
          <w:bCs/>
        </w:rPr>
        <w:br/>
      </w:r>
    </w:p>
    <w:p w:rsidR="00BB2352" w:rsidRDefault="00BB2352" w:rsidP="00BB2352">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BB2352">
        <w:t xml:space="preserve"> </w:t>
      </w:r>
      <w:r w:rsidRPr="00BB2352">
        <w:rPr>
          <w:rFonts w:eastAsiaTheme="minorEastAsia"/>
          <w:caps/>
          <w:spacing w:val="15"/>
        </w:rPr>
        <w:t>Driving the UK’s leadership in vaccine research &amp; innovation</w:t>
      </w:r>
      <w:r w:rsidRPr="008B37ED">
        <w:t xml:space="preserve"> </w:t>
      </w:r>
    </w:p>
    <w:p w:rsidR="00BB2352" w:rsidRDefault="00BB2352" w:rsidP="00B40ECA">
      <w:pPr>
        <w:spacing w:before="200"/>
        <w:rPr>
          <w:rFonts w:eastAsiaTheme="minorEastAsia"/>
          <w:bCs/>
        </w:rPr>
      </w:pPr>
      <w:r>
        <w:rPr>
          <w:rFonts w:eastAsiaTheme="minorEastAsia"/>
          <w:bCs/>
        </w:rPr>
        <w:t>Reform | 2</w:t>
      </w:r>
      <w:r w:rsidRPr="00BB2352">
        <w:rPr>
          <w:rFonts w:eastAsiaTheme="minorEastAsia"/>
          <w:bCs/>
          <w:vertAlign w:val="superscript"/>
        </w:rPr>
        <w:t>nd</w:t>
      </w:r>
      <w:r>
        <w:rPr>
          <w:rFonts w:eastAsiaTheme="minorEastAsia"/>
          <w:bCs/>
        </w:rPr>
        <w:t xml:space="preserve"> December 2020</w:t>
      </w:r>
    </w:p>
    <w:p w:rsidR="00BB2352" w:rsidRDefault="00BB2352" w:rsidP="00B40ECA">
      <w:pPr>
        <w:spacing w:before="200"/>
        <w:rPr>
          <w:rFonts w:eastAsiaTheme="minorEastAsia"/>
          <w:bCs/>
        </w:rPr>
      </w:pPr>
      <w:r w:rsidRPr="00BB2352">
        <w:rPr>
          <w:rFonts w:eastAsiaTheme="minorEastAsia"/>
          <w:bCs/>
        </w:rPr>
        <w:t>This </w:t>
      </w:r>
      <w:r w:rsidRPr="00BB2352">
        <w:rPr>
          <w:rFonts w:eastAsiaTheme="minorEastAsia"/>
          <w:bCs/>
          <w:i/>
          <w:iCs/>
        </w:rPr>
        <w:t>Reformer Thoughts</w:t>
      </w:r>
      <w:r w:rsidRPr="00BB2352">
        <w:rPr>
          <w:rFonts w:eastAsiaTheme="minorEastAsia"/>
          <w:bCs/>
        </w:rPr>
        <w:t> discusses how the UK can drive innovation and research into vaccines, even beyond the Covid-19 pandemic. </w:t>
      </w:r>
      <w:r>
        <w:rPr>
          <w:rFonts w:eastAsiaTheme="minorEastAsia"/>
          <w:bCs/>
        </w:rPr>
        <w:t xml:space="preserve"> </w:t>
      </w:r>
      <w:r w:rsidRPr="00BB2352">
        <w:rPr>
          <w:rFonts w:eastAsiaTheme="minorEastAsia"/>
          <w:bCs/>
        </w:rPr>
        <w:t>As the UK becomes the first country to approve the use of Pfizer's COVID-19 vaccine, accelerating this agenda has become even more important. </w:t>
      </w:r>
      <w:r w:rsidRPr="00BB2352">
        <w:rPr>
          <w:rFonts w:eastAsiaTheme="minorEastAsia"/>
          <w:bCs/>
        </w:rPr>
        <w:br/>
      </w:r>
      <w:r w:rsidRPr="00BB2352">
        <w:rPr>
          <w:rFonts w:eastAsiaTheme="minorEastAsia"/>
          <w:bCs/>
        </w:rPr>
        <w:br/>
        <w:t>This publication brings together experts from Government, the scientific research community, and the life sciences sector to discuss the future of vaccination and how the UK can retain its leading position in vaccine research.</w:t>
      </w:r>
    </w:p>
    <w:p w:rsidR="00B40ECA" w:rsidRPr="00B40ECA" w:rsidRDefault="00BB2352" w:rsidP="00B40ECA">
      <w:pPr>
        <w:spacing w:before="200"/>
        <w:rPr>
          <w:rFonts w:eastAsiaTheme="minorEastAsia"/>
        </w:rPr>
      </w:pPr>
      <w:r>
        <w:rPr>
          <w:rFonts w:eastAsiaTheme="minorEastAsia"/>
          <w:bCs/>
        </w:rPr>
        <w:t xml:space="preserve">Full report: </w:t>
      </w:r>
      <w:hyperlink r:id="rId36" w:history="1">
        <w:r w:rsidRPr="00BB2352">
          <w:rPr>
            <w:rStyle w:val="Hyperlink"/>
            <w:rFonts w:eastAsiaTheme="minorEastAsia"/>
            <w:bCs/>
          </w:rPr>
          <w:t>Driving the UK’s leadership in vaccine research &amp; innovation</w:t>
        </w:r>
      </w:hyperlink>
      <w:r w:rsidR="007A46A4">
        <w:rPr>
          <w:rFonts w:eastAsiaTheme="minorEastAsia"/>
          <w:bCs/>
        </w:rPr>
        <w:br/>
      </w:r>
    </w:p>
    <w:p w:rsidR="007A46A4" w:rsidRPr="007A46A4" w:rsidRDefault="007A46A4" w:rsidP="007A46A4">
      <w:pPr>
        <w:pBdr>
          <w:top w:val="single" w:sz="6" w:space="2" w:color="D4802C"/>
          <w:left w:val="single" w:sz="6" w:space="2" w:color="D4802C"/>
        </w:pBdr>
        <w:spacing w:before="300" w:after="0"/>
        <w:outlineLvl w:val="2"/>
        <w:rPr>
          <w:rFonts w:eastAsiaTheme="minorEastAsia"/>
        </w:rPr>
      </w:pPr>
      <w:r w:rsidRPr="007A46A4">
        <w:rPr>
          <w:rFonts w:eastAsiaTheme="minorEastAsia"/>
          <w:b/>
          <w:spacing w:val="15"/>
        </w:rPr>
        <w:t>TITLE:</w:t>
      </w:r>
      <w:r w:rsidRPr="007A46A4">
        <w:rPr>
          <w:rFonts w:ascii="Helvetica" w:eastAsia="Times New Roman" w:hAnsi="Helvetica" w:cs="Helvetica"/>
          <w:color w:val="333333"/>
          <w:kern w:val="36"/>
          <w:sz w:val="30"/>
          <w:szCs w:val="30"/>
          <w:lang w:eastAsia="en-GB"/>
        </w:rPr>
        <w:t xml:space="preserve"> </w:t>
      </w:r>
      <w:r w:rsidRPr="007A46A4">
        <w:rPr>
          <w:rFonts w:eastAsiaTheme="minorEastAsia"/>
          <w:bCs/>
          <w:spacing w:val="15"/>
        </w:rPr>
        <w:t>CONCERNS PERSIST ABOUT PURPOSE, ETHICS, AND EFFECT OF RAPID TESTING IN LIVERPOOL</w:t>
      </w:r>
      <w:r w:rsidRPr="007A46A4">
        <w:rPr>
          <w:rFonts w:eastAsiaTheme="minorEastAsia"/>
        </w:rPr>
        <w:t xml:space="preserve"> </w:t>
      </w:r>
    </w:p>
    <w:p w:rsidR="007A46A4" w:rsidRPr="007A46A4" w:rsidRDefault="007A46A4" w:rsidP="007A46A4">
      <w:pPr>
        <w:spacing w:before="200"/>
        <w:rPr>
          <w:rFonts w:eastAsiaTheme="minorEastAsia"/>
        </w:rPr>
      </w:pPr>
      <w:r w:rsidRPr="007A46A4">
        <w:rPr>
          <w:rFonts w:eastAsiaTheme="minorEastAsia"/>
        </w:rPr>
        <w:t>BMJ | 2020; 371: m4690 | 2</w:t>
      </w:r>
      <w:r w:rsidRPr="007A46A4">
        <w:rPr>
          <w:rFonts w:eastAsiaTheme="minorEastAsia"/>
          <w:vertAlign w:val="superscript"/>
        </w:rPr>
        <w:t>nd</w:t>
      </w:r>
      <w:r w:rsidRPr="007A46A4">
        <w:rPr>
          <w:rFonts w:eastAsiaTheme="minorEastAsia"/>
        </w:rPr>
        <w:t xml:space="preserve"> December 2020</w:t>
      </w:r>
    </w:p>
    <w:p w:rsidR="007A46A4" w:rsidRPr="007A46A4" w:rsidRDefault="007A46A4" w:rsidP="007A46A4">
      <w:pPr>
        <w:spacing w:before="200"/>
        <w:rPr>
          <w:rFonts w:eastAsiaTheme="minorEastAsia"/>
        </w:rPr>
      </w:pPr>
      <w:r w:rsidRPr="007A46A4">
        <w:rPr>
          <w:rFonts w:eastAsiaTheme="minorEastAsia"/>
        </w:rPr>
        <w:t>The government is hailing Liverpool’s testing pilot as a great success and plans to offer rapid lateral flow tests to other areas with high rates of covid-19. But this analysis from the BMJ suggests the scheme raises more questions than answers.</w:t>
      </w:r>
    </w:p>
    <w:p w:rsidR="007A46A4" w:rsidRPr="007A46A4" w:rsidRDefault="007A46A4" w:rsidP="007A46A4">
      <w:pPr>
        <w:spacing w:before="200"/>
        <w:rPr>
          <w:rFonts w:eastAsiaTheme="minorEastAsia"/>
        </w:rPr>
      </w:pPr>
      <w:r w:rsidRPr="007A46A4">
        <w:rPr>
          <w:rFonts w:eastAsiaTheme="minorEastAsia"/>
        </w:rPr>
        <w:t xml:space="preserve">Full detail: </w:t>
      </w:r>
      <w:hyperlink r:id="rId37" w:history="1">
        <w:r w:rsidRPr="007A46A4">
          <w:rPr>
            <w:rFonts w:eastAsiaTheme="minorEastAsia"/>
            <w:color w:val="0000FF" w:themeColor="hyperlink"/>
            <w:u w:val="single"/>
          </w:rPr>
          <w:t>Concerns persist about purpose, ethics, and effect of rapid testing in Liverpool</w:t>
        </w:r>
      </w:hyperlink>
    </w:p>
    <w:p w:rsidR="00B40ECA" w:rsidRPr="008B37ED" w:rsidRDefault="00B40ECA" w:rsidP="008B37ED">
      <w:pPr>
        <w:spacing w:before="200"/>
        <w:rPr>
          <w:rFonts w:eastAsiaTheme="minorEastAsia"/>
        </w:rPr>
      </w:pPr>
    </w:p>
    <w:p w:rsidR="008B37ED" w:rsidRPr="00420EC3" w:rsidRDefault="008B37ED"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627C30" w:rsidRPr="00627C30">
        <w:rPr>
          <w:rFonts w:eastAsiaTheme="minorEastAsia"/>
          <w:caps/>
          <w:spacing w:val="15"/>
        </w:rPr>
        <w:t>A guide for healthcare staff self-testing for coronavirus using a Lateral Flow Device</w:t>
      </w:r>
    </w:p>
    <w:p w:rsidR="00627C30" w:rsidRDefault="00627C30" w:rsidP="00627C30">
      <w:pPr>
        <w:spacing w:before="200"/>
        <w:rPr>
          <w:rFonts w:eastAsiaTheme="minorEastAsia"/>
        </w:rPr>
      </w:pPr>
      <w:r>
        <w:rPr>
          <w:rFonts w:eastAsiaTheme="minorEastAsia"/>
        </w:rPr>
        <w:t>NHS England | November 2020</w:t>
      </w:r>
    </w:p>
    <w:p w:rsidR="00527C87" w:rsidRDefault="00627C30" w:rsidP="00627C30">
      <w:pPr>
        <w:spacing w:before="200"/>
        <w:rPr>
          <w:rFonts w:eastAsiaTheme="minorEastAsia"/>
        </w:rPr>
      </w:pPr>
      <w:r>
        <w:rPr>
          <w:rFonts w:eastAsiaTheme="minorEastAsia"/>
        </w:rPr>
        <w:t xml:space="preserve">NHS England have produced </w:t>
      </w:r>
      <w:r w:rsidRPr="00627C30">
        <w:rPr>
          <w:rFonts w:eastAsiaTheme="minorEastAsia"/>
        </w:rPr>
        <w:t>guidance for staff working in healthc</w:t>
      </w:r>
      <w:r>
        <w:rPr>
          <w:rFonts w:eastAsiaTheme="minorEastAsia"/>
        </w:rPr>
        <w:t>are to use lateral flow devices. I</w:t>
      </w:r>
      <w:r w:rsidRPr="00627C30">
        <w:rPr>
          <w:rFonts w:eastAsiaTheme="minorEastAsia"/>
        </w:rPr>
        <w:t>t provides instructions on how to prepare for, conduct and interpret the test results.</w:t>
      </w:r>
    </w:p>
    <w:p w:rsidR="00FE1DF9" w:rsidRDefault="00627C30" w:rsidP="00627C30">
      <w:pPr>
        <w:spacing w:before="200"/>
        <w:rPr>
          <w:rStyle w:val="Hyperlink"/>
          <w:rFonts w:eastAsiaTheme="minorEastAsia"/>
        </w:rPr>
      </w:pPr>
      <w:r>
        <w:rPr>
          <w:rFonts w:eastAsiaTheme="minorEastAsia"/>
        </w:rPr>
        <w:t xml:space="preserve">Full guidance: </w:t>
      </w:r>
      <w:hyperlink r:id="rId38" w:history="1">
        <w:r w:rsidRPr="00627C30">
          <w:rPr>
            <w:rStyle w:val="Hyperlink"/>
            <w:rFonts w:eastAsiaTheme="minorEastAsia"/>
          </w:rPr>
          <w:t>A guide for healthcare staff self-testing for coronavirus using a Lateral Flow Device</w:t>
        </w:r>
      </w:hyperlink>
    </w:p>
    <w:p w:rsidR="00627C30" w:rsidRPr="00627C30" w:rsidRDefault="00932C07" w:rsidP="00627C30">
      <w:pPr>
        <w:spacing w:before="200"/>
        <w:rPr>
          <w:rFonts w:eastAsiaTheme="minorEastAsia"/>
        </w:rPr>
      </w:pPr>
      <w:r>
        <w:rPr>
          <w:rFonts w:eastAsiaTheme="minorEastAsia"/>
        </w:rPr>
        <w:br/>
      </w:r>
    </w:p>
    <w:p w:rsidR="00527C87" w:rsidRPr="00527C87" w:rsidRDefault="00527C87" w:rsidP="00312E5E">
      <w:pPr>
        <w:pBdr>
          <w:top w:val="single" w:sz="6" w:space="2" w:color="D4802C"/>
          <w:left w:val="single" w:sz="6" w:space="2" w:color="D4802C"/>
        </w:pBdr>
        <w:spacing w:before="300" w:after="0"/>
        <w:outlineLvl w:val="2"/>
        <w:rPr>
          <w:rFonts w:eastAsiaTheme="minorEastAsia"/>
          <w:bCs/>
        </w:rPr>
      </w:pPr>
      <w:r w:rsidRPr="00D6477B">
        <w:rPr>
          <w:rFonts w:eastAsiaTheme="minorEastAsia"/>
          <w:b/>
          <w:caps/>
          <w:spacing w:val="15"/>
        </w:rPr>
        <w:t>Title</w:t>
      </w:r>
      <w:r w:rsidR="00932C07">
        <w:rPr>
          <w:rFonts w:eastAsiaTheme="minorEastAsia"/>
          <w:b/>
          <w:caps/>
          <w:spacing w:val="15"/>
        </w:rPr>
        <w:t>:</w:t>
      </w:r>
      <w:r w:rsidR="00932C07" w:rsidRPr="00932C07">
        <w:t xml:space="preserve"> </w:t>
      </w:r>
      <w:r w:rsidR="00932C07" w:rsidRPr="00932C07">
        <w:rPr>
          <w:rFonts w:eastAsiaTheme="minorEastAsia"/>
          <w:caps/>
          <w:spacing w:val="15"/>
        </w:rPr>
        <w:t>New guidance means few NHS staff now likely to get covid vaccine before Xmas</w:t>
      </w:r>
      <w:r w:rsidRPr="00527C87">
        <w:t xml:space="preserve"> </w:t>
      </w:r>
    </w:p>
    <w:p w:rsidR="00420EC3" w:rsidRDefault="00217C26" w:rsidP="000A2968">
      <w:pPr>
        <w:spacing w:before="200"/>
        <w:rPr>
          <w:rFonts w:eastAsiaTheme="minorEastAsia"/>
        </w:rPr>
      </w:pPr>
      <w:r>
        <w:rPr>
          <w:rFonts w:eastAsiaTheme="minorEastAsia"/>
        </w:rPr>
        <w:t>HSJ | 3</w:t>
      </w:r>
      <w:r w:rsidRPr="00217C26">
        <w:rPr>
          <w:rFonts w:eastAsiaTheme="minorEastAsia"/>
          <w:vertAlign w:val="superscript"/>
        </w:rPr>
        <w:t>rd</w:t>
      </w:r>
      <w:r>
        <w:rPr>
          <w:rFonts w:eastAsiaTheme="minorEastAsia"/>
        </w:rPr>
        <w:t xml:space="preserve"> December 2020</w:t>
      </w:r>
    </w:p>
    <w:p w:rsidR="00217C26" w:rsidRPr="00217C26" w:rsidRDefault="00217C26" w:rsidP="00217C26">
      <w:pPr>
        <w:spacing w:before="200"/>
        <w:rPr>
          <w:rFonts w:eastAsiaTheme="minorEastAsia"/>
        </w:rPr>
      </w:pPr>
      <w:r w:rsidRPr="00217C26">
        <w:rPr>
          <w:rFonts w:eastAsiaTheme="minorEastAsia"/>
        </w:rPr>
        <w:t xml:space="preserve">NHS staff are no longer the top priority for receiving the first covid-19 vaccine, and most are now unlikely to get the jab before Christmas, HSJ has </w:t>
      </w:r>
      <w:r>
        <w:rPr>
          <w:rFonts w:eastAsiaTheme="minorEastAsia"/>
        </w:rPr>
        <w:t>revealed</w:t>
      </w:r>
      <w:r w:rsidRPr="00217C26">
        <w:rPr>
          <w:rFonts w:eastAsiaTheme="minorEastAsia"/>
        </w:rPr>
        <w:t>.</w:t>
      </w:r>
    </w:p>
    <w:p w:rsidR="00217C26" w:rsidRPr="00217C26" w:rsidRDefault="00217C26" w:rsidP="00217C26">
      <w:pPr>
        <w:spacing w:before="200"/>
        <w:rPr>
          <w:rFonts w:eastAsiaTheme="minorEastAsia"/>
        </w:rPr>
      </w:pPr>
      <w:r w:rsidRPr="00217C26">
        <w:rPr>
          <w:rFonts w:eastAsiaTheme="minorEastAsia"/>
        </w:rPr>
        <w:t>Several senior sources have told HSJ that people aged over 80 who are at hospitals for other reasons will now be the top priority for the first batches to arrive of the Pfizer/</w:t>
      </w:r>
      <w:proofErr w:type="spellStart"/>
      <w:r w:rsidRPr="00217C26">
        <w:rPr>
          <w:rFonts w:eastAsiaTheme="minorEastAsia"/>
        </w:rPr>
        <w:t>Biontech</w:t>
      </w:r>
      <w:proofErr w:type="spellEnd"/>
      <w:r w:rsidRPr="00217C26">
        <w:rPr>
          <w:rFonts w:eastAsiaTheme="minorEastAsia"/>
        </w:rPr>
        <w:t xml:space="preserve"> vaccine, which are due to arrive in coming days. They will be followed in the priority order by care home staff.</w:t>
      </w:r>
    </w:p>
    <w:p w:rsidR="00217C26" w:rsidRDefault="00217C26" w:rsidP="00217C26">
      <w:pPr>
        <w:spacing w:before="200"/>
        <w:rPr>
          <w:rFonts w:eastAsiaTheme="minorEastAsia"/>
        </w:rPr>
      </w:pPr>
      <w:r w:rsidRPr="00217C26">
        <w:rPr>
          <w:rFonts w:eastAsiaTheme="minorEastAsia"/>
        </w:rPr>
        <w:t>NHS staff will be the next priority to receive the vaccine, but limited stocks are expected to mean most of them will now not receive it until after Christmas.</w:t>
      </w:r>
    </w:p>
    <w:p w:rsidR="00217C26" w:rsidRPr="00217C26" w:rsidRDefault="00217C26" w:rsidP="00217C26">
      <w:pPr>
        <w:spacing w:before="200"/>
        <w:rPr>
          <w:rFonts w:eastAsiaTheme="minorEastAsia"/>
        </w:rPr>
      </w:pPr>
      <w:r>
        <w:rPr>
          <w:rFonts w:eastAsiaTheme="minorEastAsia"/>
        </w:rPr>
        <w:t xml:space="preserve">Full detail: </w:t>
      </w:r>
      <w:hyperlink r:id="rId39" w:history="1">
        <w:r w:rsidRPr="00217C26">
          <w:rPr>
            <w:rStyle w:val="Hyperlink"/>
            <w:rFonts w:eastAsiaTheme="minorEastAsia"/>
          </w:rPr>
          <w:t xml:space="preserve">New guidance means few NHS staff now likely to get </w:t>
        </w:r>
        <w:proofErr w:type="spellStart"/>
        <w:r w:rsidRPr="00217C26">
          <w:rPr>
            <w:rStyle w:val="Hyperlink"/>
            <w:rFonts w:eastAsiaTheme="minorEastAsia"/>
          </w:rPr>
          <w:t>Covid</w:t>
        </w:r>
        <w:proofErr w:type="spellEnd"/>
        <w:r w:rsidRPr="00217C26">
          <w:rPr>
            <w:rStyle w:val="Hyperlink"/>
            <w:rFonts w:eastAsiaTheme="minorEastAsia"/>
          </w:rPr>
          <w:t xml:space="preserve"> vaccine before Xmas</w:t>
        </w:r>
      </w:hyperlink>
    </w:p>
    <w:p w:rsidR="00420EC3" w:rsidRDefault="00420EC3" w:rsidP="000A2968">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3226C" w:rsidRPr="00F3226C" w:rsidRDefault="00F66829" w:rsidP="00F3226C">
      <w:pPr>
        <w:pBdr>
          <w:top w:val="single" w:sz="6" w:space="2" w:color="D4802C"/>
          <w:left w:val="single" w:sz="6" w:space="2" w:color="D4802C"/>
        </w:pBdr>
        <w:spacing w:before="300" w:after="0"/>
        <w:outlineLvl w:val="2"/>
        <w:rPr>
          <w:rFonts w:eastAsiaTheme="minorEastAsia"/>
          <w:b/>
          <w:spacing w:val="15"/>
        </w:rPr>
      </w:pPr>
      <w:r w:rsidRPr="00A5031D">
        <w:rPr>
          <w:rFonts w:eastAsiaTheme="minorEastAsia"/>
          <w:b/>
          <w:spacing w:val="15"/>
        </w:rPr>
        <w:t>TITLE</w:t>
      </w:r>
      <w:r w:rsidR="00F3226C">
        <w:rPr>
          <w:rFonts w:eastAsiaTheme="minorEastAsia"/>
          <w:b/>
          <w:spacing w:val="15"/>
        </w:rPr>
        <w:t>:</w:t>
      </w:r>
      <w:r w:rsidR="00F3226C" w:rsidRPr="00F3226C">
        <w:t xml:space="preserve"> </w:t>
      </w:r>
      <w:r w:rsidR="00F3226C" w:rsidRPr="00F3226C">
        <w:rPr>
          <w:rFonts w:eastAsiaTheme="minorEastAsia"/>
          <w:spacing w:val="15"/>
        </w:rPr>
        <w:t>COVID-19 IN NORTH YORKSHIRE: JULY-NOVEMBER 2020</w:t>
      </w:r>
    </w:p>
    <w:p w:rsidR="00F3226C" w:rsidRDefault="00627C30" w:rsidP="002F29D4">
      <w:pPr>
        <w:spacing w:before="200"/>
        <w:rPr>
          <w:rFonts w:eastAsiaTheme="minorEastAsia"/>
        </w:rPr>
      </w:pPr>
      <w:proofErr w:type="spellStart"/>
      <w:r w:rsidRPr="00627C30">
        <w:rPr>
          <w:rFonts w:eastAsiaTheme="minorEastAsia"/>
          <w:bCs/>
        </w:rPr>
        <w:t>Healthwatch</w:t>
      </w:r>
      <w:proofErr w:type="spellEnd"/>
      <w:r w:rsidRPr="00627C30">
        <w:rPr>
          <w:rFonts w:eastAsiaTheme="minorEastAsia"/>
          <w:bCs/>
        </w:rPr>
        <w:t xml:space="preserve"> North Yorkshire</w:t>
      </w:r>
      <w:r>
        <w:rPr>
          <w:rFonts w:eastAsiaTheme="minorEastAsia"/>
          <w:b/>
          <w:bCs/>
        </w:rPr>
        <w:t xml:space="preserve"> </w:t>
      </w:r>
      <w:r>
        <w:rPr>
          <w:rFonts w:eastAsiaTheme="minorEastAsia"/>
          <w:bCs/>
        </w:rPr>
        <w:t xml:space="preserve">| </w:t>
      </w:r>
      <w:r w:rsidR="00F3226C" w:rsidRPr="00F3226C">
        <w:rPr>
          <w:rFonts w:eastAsiaTheme="minorEastAsia"/>
          <w:bCs/>
        </w:rPr>
        <w:t>November 2020</w:t>
      </w:r>
      <w:r w:rsidR="00F3226C">
        <w:rPr>
          <w:rFonts w:eastAsiaTheme="minorEastAsia"/>
          <w:bCs/>
        </w:rPr>
        <w:br/>
      </w:r>
      <w:r w:rsidRPr="00627C30">
        <w:rPr>
          <w:rFonts w:eastAsiaTheme="minorEastAsia"/>
        </w:rPr>
        <w:br/>
        <w:t>This briefing is designed to provide an update on how the pandemic is affecting people in North Yorkshire, to help those responsible for commissioning and providing services to ensure people are receiving the best possible care.</w:t>
      </w:r>
    </w:p>
    <w:p w:rsidR="00940B2F" w:rsidRPr="00AC79C9" w:rsidRDefault="00F3226C" w:rsidP="00627D72">
      <w:pPr>
        <w:spacing w:before="200"/>
        <w:rPr>
          <w:rFonts w:eastAsiaTheme="minorEastAsia"/>
        </w:rPr>
      </w:pPr>
      <w:r>
        <w:rPr>
          <w:rFonts w:eastAsiaTheme="minorEastAsia"/>
        </w:rPr>
        <w:t xml:space="preserve">Full briefing: </w:t>
      </w:r>
      <w:hyperlink r:id="rId40" w:history="1">
        <w:r w:rsidRPr="00F3226C">
          <w:rPr>
            <w:rStyle w:val="Hyperlink"/>
            <w:rFonts w:eastAsiaTheme="minorEastAsia"/>
          </w:rPr>
          <w:t>Covid-19 in North Yorkshire: July-November 2020</w:t>
        </w:r>
      </w:hyperlink>
      <w:r>
        <w:rPr>
          <w:rFonts w:eastAsiaTheme="minorEastAsia"/>
        </w:rPr>
        <w:br/>
      </w: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940B2F" w:rsidP="00A5031D">
      <w:pPr>
        <w:pBdr>
          <w:top w:val="single" w:sz="6" w:space="2" w:color="D4802C"/>
          <w:left w:val="single" w:sz="6" w:space="2" w:color="D4802C"/>
        </w:pBdr>
        <w:spacing w:before="300" w:after="0"/>
        <w:outlineLvl w:val="2"/>
        <w:rPr>
          <w:rFonts w:eastAsiaTheme="minorEastAsia"/>
        </w:rPr>
      </w:pPr>
      <w:r>
        <w:rPr>
          <w:rFonts w:eastAsiaTheme="minorEastAsia"/>
          <w:b/>
          <w:spacing w:val="15"/>
        </w:rPr>
        <w:t>TITL</w:t>
      </w:r>
      <w:r w:rsidR="00A5031D" w:rsidRPr="00A5031D">
        <w:rPr>
          <w:rFonts w:eastAsiaTheme="minorEastAsia"/>
          <w:b/>
          <w:spacing w:val="15"/>
        </w:rPr>
        <w:t>E</w:t>
      </w:r>
      <w:r>
        <w:rPr>
          <w:rFonts w:eastAsiaTheme="minorEastAsia"/>
          <w:b/>
          <w:spacing w:val="15"/>
        </w:rPr>
        <w:t>:</w:t>
      </w:r>
      <w:r w:rsidRPr="00940B2F">
        <w:t xml:space="preserve"> </w:t>
      </w:r>
      <w:r w:rsidRPr="00940B2F">
        <w:rPr>
          <w:rFonts w:eastAsiaTheme="minorEastAsia"/>
          <w:spacing w:val="15"/>
        </w:rPr>
        <w:t>NOVEMBER INTERIM FINDINGS FROM COVID-19 TRANSMISSION STUDY PUBLISHED</w:t>
      </w:r>
      <w:r w:rsidRPr="00A5031D">
        <w:rPr>
          <w:rFonts w:eastAsiaTheme="minorEastAsia"/>
        </w:rPr>
        <w:t xml:space="preserve">  </w:t>
      </w:r>
    </w:p>
    <w:p w:rsidR="00CE1D0C" w:rsidRDefault="00940B2F" w:rsidP="00A5031D">
      <w:pPr>
        <w:spacing w:before="200"/>
        <w:rPr>
          <w:rFonts w:eastAsiaTheme="minorEastAsia"/>
        </w:rPr>
      </w:pPr>
      <w:r w:rsidRPr="00940B2F">
        <w:rPr>
          <w:rFonts w:eastAsiaTheme="minorEastAsia"/>
        </w:rPr>
        <w:t>Department of Health and Social Care</w:t>
      </w:r>
      <w:r>
        <w:rPr>
          <w:rFonts w:eastAsiaTheme="minorEastAsia"/>
        </w:rPr>
        <w:t xml:space="preserve"> | 30</w:t>
      </w:r>
      <w:r w:rsidRPr="00940B2F">
        <w:rPr>
          <w:rFonts w:eastAsiaTheme="minorEastAsia"/>
          <w:vertAlign w:val="superscript"/>
        </w:rPr>
        <w:t>th</w:t>
      </w:r>
      <w:r>
        <w:rPr>
          <w:rFonts w:eastAsiaTheme="minorEastAsia"/>
        </w:rPr>
        <w:t xml:space="preserve"> November 2020</w:t>
      </w:r>
    </w:p>
    <w:p w:rsidR="00940B2F" w:rsidRPr="00940B2F" w:rsidRDefault="00940B2F" w:rsidP="00940B2F">
      <w:pPr>
        <w:spacing w:before="200"/>
        <w:rPr>
          <w:rFonts w:eastAsiaTheme="minorEastAsia"/>
        </w:rPr>
      </w:pPr>
      <w:r w:rsidRPr="00940B2F">
        <w:rPr>
          <w:rFonts w:eastAsiaTheme="minorEastAsia"/>
        </w:rPr>
        <w:t xml:space="preserve">Interim results from the seventh report of one of the country’s largest studies into COVID-19 infections in England have been published today by Imperial College London and </w:t>
      </w:r>
      <w:proofErr w:type="spellStart"/>
      <w:r w:rsidRPr="00940B2F">
        <w:rPr>
          <w:rFonts w:eastAsiaTheme="minorEastAsia"/>
        </w:rPr>
        <w:t>Ipsos</w:t>
      </w:r>
      <w:proofErr w:type="spellEnd"/>
      <w:r w:rsidRPr="00940B2F">
        <w:rPr>
          <w:rFonts w:eastAsiaTheme="minorEastAsia"/>
        </w:rPr>
        <w:t xml:space="preserve"> MORI.</w:t>
      </w:r>
    </w:p>
    <w:p w:rsidR="00940B2F" w:rsidRPr="00940B2F" w:rsidRDefault="00940B2F" w:rsidP="00940B2F">
      <w:pPr>
        <w:spacing w:before="200"/>
        <w:rPr>
          <w:rFonts w:eastAsiaTheme="minorEastAsia"/>
        </w:rPr>
      </w:pPr>
      <w:r w:rsidRPr="00940B2F">
        <w:rPr>
          <w:rFonts w:eastAsiaTheme="minorEastAsia"/>
        </w:rPr>
        <w:t>Over 105,000 volunteers were tested in England between 13 and 24 November as part of the REACT study, to examine the levels of infection in the general population.</w:t>
      </w:r>
    </w:p>
    <w:p w:rsidR="00940B2F" w:rsidRPr="00940B2F" w:rsidRDefault="00940B2F" w:rsidP="00940B2F">
      <w:pPr>
        <w:spacing w:before="200"/>
        <w:rPr>
          <w:rFonts w:eastAsiaTheme="minorEastAsia"/>
        </w:rPr>
      </w:pPr>
      <w:r w:rsidRPr="00940B2F">
        <w:rPr>
          <w:rFonts w:eastAsiaTheme="minorEastAsia"/>
        </w:rPr>
        <w:t>The findings show cases were rising as the country entered lockdown but this was followed by a decrease as national measures successfully lowered infection rates across the country. This supports findings from SAGE that stronger measures would be needed in some areas to prevent the epidemic from growing and that local tiers needed to be toughened to keep the virus under control once national measures end this week.</w:t>
      </w:r>
    </w:p>
    <w:p w:rsidR="00940B2F" w:rsidRPr="00940B2F" w:rsidRDefault="00940B2F" w:rsidP="00940B2F">
      <w:pPr>
        <w:spacing w:before="200"/>
        <w:rPr>
          <w:rFonts w:eastAsiaTheme="minorEastAsia"/>
        </w:rPr>
      </w:pPr>
      <w:r w:rsidRPr="00940B2F">
        <w:rPr>
          <w:rFonts w:eastAsiaTheme="minorEastAsia"/>
        </w:rPr>
        <w:t>Infections fell by over 50% in the North West and North East, with prevalence highest in the West Midlands, East Midlands and Yorkshire and the Humber.</w:t>
      </w:r>
    </w:p>
    <w:p w:rsidR="00940B2F" w:rsidRPr="00940B2F" w:rsidRDefault="00940B2F" w:rsidP="00940B2F">
      <w:pPr>
        <w:spacing w:before="200"/>
        <w:rPr>
          <w:rFonts w:eastAsiaTheme="minorEastAsia"/>
        </w:rPr>
      </w:pPr>
      <w:r w:rsidRPr="00940B2F">
        <w:rPr>
          <w:rFonts w:eastAsiaTheme="minorEastAsia"/>
        </w:rPr>
        <w:t>While gains have been made to bring down infections, prevalence of the disease remains high with around 1 in 100 people testing positive compared to 1 in 80 between 16 October and 2 November.</w:t>
      </w:r>
    </w:p>
    <w:p w:rsidR="00940B2F" w:rsidRPr="00940B2F" w:rsidRDefault="00940B2F" w:rsidP="00940B2F">
      <w:pPr>
        <w:spacing w:before="200"/>
        <w:rPr>
          <w:rFonts w:eastAsiaTheme="minorEastAsia"/>
        </w:rPr>
      </w:pPr>
      <w:r w:rsidRPr="00940B2F">
        <w:rPr>
          <w:rFonts w:eastAsiaTheme="minorEastAsia"/>
        </w:rPr>
        <w:t>The main findings from the seventh REACT study show that between 13 and 24 November:</w:t>
      </w:r>
    </w:p>
    <w:p w:rsidR="00940B2F" w:rsidRPr="00940B2F" w:rsidRDefault="00940B2F" w:rsidP="00217C26">
      <w:pPr>
        <w:numPr>
          <w:ilvl w:val="0"/>
          <w:numId w:val="2"/>
        </w:numPr>
        <w:spacing w:before="200"/>
        <w:rPr>
          <w:rFonts w:eastAsiaTheme="minorEastAsia"/>
        </w:rPr>
      </w:pPr>
      <w:r w:rsidRPr="00940B2F">
        <w:rPr>
          <w:rFonts w:eastAsiaTheme="minorEastAsia"/>
        </w:rPr>
        <w:t>96 people per 10,000 infected, down from 132 per 10,000 between 26 October and 2 November</w:t>
      </w:r>
    </w:p>
    <w:p w:rsidR="00940B2F" w:rsidRPr="00940B2F" w:rsidRDefault="00940B2F" w:rsidP="00217C26">
      <w:pPr>
        <w:numPr>
          <w:ilvl w:val="0"/>
          <w:numId w:val="2"/>
        </w:numPr>
        <w:spacing w:before="200"/>
        <w:rPr>
          <w:rFonts w:eastAsiaTheme="minorEastAsia"/>
        </w:rPr>
      </w:pPr>
      <w:r w:rsidRPr="00940B2F">
        <w:rPr>
          <w:rFonts w:eastAsiaTheme="minorEastAsia"/>
        </w:rPr>
        <w:t>the virus was halving every 37 days</w:t>
      </w:r>
    </w:p>
    <w:p w:rsidR="00940B2F" w:rsidRPr="00940B2F" w:rsidRDefault="00940B2F" w:rsidP="00217C26">
      <w:pPr>
        <w:numPr>
          <w:ilvl w:val="0"/>
          <w:numId w:val="2"/>
        </w:numPr>
        <w:spacing w:before="200"/>
        <w:rPr>
          <w:rFonts w:eastAsiaTheme="minorEastAsia"/>
        </w:rPr>
      </w:pPr>
      <w:r w:rsidRPr="00940B2F">
        <w:rPr>
          <w:rFonts w:eastAsiaTheme="minorEastAsia"/>
        </w:rPr>
        <w:t>the national R rate was estimated to be 0.88</w:t>
      </w:r>
    </w:p>
    <w:p w:rsidR="00940B2F" w:rsidRPr="00940B2F" w:rsidRDefault="00940B2F" w:rsidP="00217C26">
      <w:pPr>
        <w:numPr>
          <w:ilvl w:val="0"/>
          <w:numId w:val="2"/>
        </w:numPr>
        <w:spacing w:before="200"/>
        <w:rPr>
          <w:rFonts w:eastAsiaTheme="minorEastAsia"/>
        </w:rPr>
      </w:pPr>
      <w:r w:rsidRPr="00940B2F">
        <w:rPr>
          <w:rFonts w:eastAsiaTheme="minorEastAsia"/>
        </w:rPr>
        <w:t>prevalence halved in the North West (1.08% down from 2.53%) and North East (0.72% down from 1.88%), and fell in Yorkshire and The Humber (1.17% down from 1.8%)</w:t>
      </w:r>
    </w:p>
    <w:p w:rsidR="00940B2F" w:rsidRPr="00940B2F" w:rsidRDefault="00940B2F" w:rsidP="00217C26">
      <w:pPr>
        <w:numPr>
          <w:ilvl w:val="0"/>
          <w:numId w:val="2"/>
        </w:numPr>
        <w:spacing w:before="200"/>
        <w:rPr>
          <w:rFonts w:eastAsiaTheme="minorEastAsia"/>
        </w:rPr>
      </w:pPr>
      <w:r w:rsidRPr="00940B2F">
        <w:rPr>
          <w:rFonts w:eastAsiaTheme="minorEastAsia"/>
        </w:rPr>
        <w:t>prevalence remained high in the East Midlands (1.27% down from 1.31%), and West Midlands (1.55% down from 1.56%), where rates are now the highest in the country meaning 155 people per 10,000 have the virus</w:t>
      </w:r>
    </w:p>
    <w:p w:rsidR="00940B2F" w:rsidRPr="00940B2F" w:rsidRDefault="00940B2F" w:rsidP="00217C26">
      <w:pPr>
        <w:numPr>
          <w:ilvl w:val="0"/>
          <w:numId w:val="2"/>
        </w:numPr>
        <w:spacing w:before="200"/>
        <w:rPr>
          <w:rFonts w:eastAsiaTheme="minorEastAsia"/>
        </w:rPr>
      </w:pPr>
      <w:r w:rsidRPr="00940B2F">
        <w:rPr>
          <w:rFonts w:eastAsiaTheme="minorEastAsia"/>
        </w:rPr>
        <w:t>people of Asian ethnicity had increased odds of testing positive compared with white people</w:t>
      </w:r>
    </w:p>
    <w:p w:rsidR="00940B2F" w:rsidRPr="00940B2F" w:rsidRDefault="00940B2F" w:rsidP="00217C26">
      <w:pPr>
        <w:numPr>
          <w:ilvl w:val="0"/>
          <w:numId w:val="2"/>
        </w:numPr>
        <w:spacing w:before="200"/>
        <w:rPr>
          <w:rFonts w:eastAsiaTheme="minorEastAsia"/>
        </w:rPr>
      </w:pPr>
      <w:r w:rsidRPr="00940B2F">
        <w:rPr>
          <w:rFonts w:eastAsiaTheme="minorEastAsia"/>
        </w:rPr>
        <w:t>people living in the most deprived neighbourhoods had higher odds of testing positive than those living in less deprived neighbourhoods</w:t>
      </w:r>
    </w:p>
    <w:p w:rsidR="00940B2F" w:rsidRDefault="00940B2F" w:rsidP="00217C26">
      <w:pPr>
        <w:numPr>
          <w:ilvl w:val="0"/>
          <w:numId w:val="2"/>
        </w:numPr>
        <w:spacing w:before="200"/>
        <w:rPr>
          <w:rFonts w:eastAsiaTheme="minorEastAsia"/>
        </w:rPr>
      </w:pPr>
      <w:r w:rsidRPr="00940B2F">
        <w:rPr>
          <w:rFonts w:eastAsiaTheme="minorEastAsia"/>
        </w:rPr>
        <w:t>there is an increase in prevalence among people living in the largest households</w:t>
      </w:r>
    </w:p>
    <w:p w:rsidR="00940B2F" w:rsidRPr="00940B2F" w:rsidRDefault="00940B2F" w:rsidP="00940B2F">
      <w:pPr>
        <w:spacing w:before="200"/>
        <w:rPr>
          <w:rFonts w:eastAsiaTheme="minorEastAsia"/>
        </w:rPr>
      </w:pPr>
      <w:r>
        <w:rPr>
          <w:rFonts w:eastAsiaTheme="minorEastAsia"/>
        </w:rPr>
        <w:t xml:space="preserve">Full detail: </w:t>
      </w:r>
      <w:hyperlink r:id="rId41" w:history="1">
        <w:r w:rsidRPr="00940B2F">
          <w:rPr>
            <w:rStyle w:val="Hyperlink"/>
            <w:rFonts w:eastAsiaTheme="minorEastAsia"/>
          </w:rPr>
          <w:t>REACT-1 study of coronavirus transmission: November 2020 interim results</w:t>
        </w:r>
      </w:hyperlink>
    </w:p>
    <w:p w:rsidR="00420EC3" w:rsidRPr="00A5031D" w:rsidRDefault="000522F8" w:rsidP="00A5031D">
      <w:pPr>
        <w:spacing w:before="200"/>
        <w:rPr>
          <w:rFonts w:eastAsiaTheme="minorEastAsia"/>
        </w:rPr>
      </w:pPr>
      <w:r>
        <w:rPr>
          <w:rFonts w:eastAsiaTheme="minorEastAsia"/>
        </w:rPr>
        <w:t xml:space="preserve">See also: </w:t>
      </w:r>
      <w:hyperlink r:id="rId42" w:history="1">
        <w:r w:rsidRPr="000522F8">
          <w:rPr>
            <w:rStyle w:val="Hyperlink"/>
            <w:rFonts w:eastAsiaTheme="minorEastAsia"/>
          </w:rPr>
          <w:t>Infections fell by 30% in England during second lockdown</w:t>
        </w:r>
      </w:hyperlink>
      <w:r>
        <w:rPr>
          <w:rFonts w:eastAsiaTheme="minorEastAsia"/>
        </w:rPr>
        <w:t xml:space="preserve"> | BMJ</w:t>
      </w:r>
      <w:r>
        <w:rPr>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3" w:name="_Toc491341626"/>
      <w:r w:rsidRPr="00627D72">
        <w:rPr>
          <w:rFonts w:eastAsiaTheme="minorEastAsia"/>
          <w:b/>
          <w:caps/>
          <w:spacing w:val="15"/>
        </w:rPr>
        <w:t>Title</w:t>
      </w:r>
      <w:r w:rsidRPr="00627D72">
        <w:rPr>
          <w:rFonts w:eastAsiaTheme="minorEastAsia"/>
          <w:caps/>
          <w:spacing w:val="15"/>
        </w:rPr>
        <w:t>:</w:t>
      </w:r>
      <w:bookmarkEnd w:id="3"/>
      <w:r w:rsidR="008A3824" w:rsidRPr="008A3824">
        <w:t xml:space="preserve"> </w:t>
      </w:r>
      <w:r w:rsidR="008A3824" w:rsidRPr="008A3824">
        <w:rPr>
          <w:rFonts w:eastAsiaTheme="minorEastAsia"/>
          <w:caps/>
          <w:spacing w:val="15"/>
        </w:rPr>
        <w:t>The effect of clinical decision making for initiation of systemic anticancer treatments in response to the COVID-19 pandemic in England: a retrospective analysis</w:t>
      </w:r>
      <w:r w:rsidR="00B36AFD" w:rsidRPr="00B36AFD">
        <w:t xml:space="preserve"> </w:t>
      </w:r>
    </w:p>
    <w:p w:rsidR="008A3824" w:rsidRDefault="008A3824" w:rsidP="008A3824">
      <w:pPr>
        <w:spacing w:before="200"/>
        <w:rPr>
          <w:rFonts w:eastAsiaTheme="minorEastAsia"/>
        </w:rPr>
      </w:pPr>
      <w:r>
        <w:rPr>
          <w:rFonts w:eastAsiaTheme="minorEastAsia"/>
        </w:rPr>
        <w:t>The Lancet Oncology | 27</w:t>
      </w:r>
      <w:r w:rsidRPr="008A3824">
        <w:rPr>
          <w:rFonts w:eastAsiaTheme="minorEastAsia"/>
          <w:vertAlign w:val="superscript"/>
        </w:rPr>
        <w:t>th</w:t>
      </w:r>
      <w:r>
        <w:rPr>
          <w:rFonts w:eastAsiaTheme="minorEastAsia"/>
        </w:rPr>
        <w:t xml:space="preserve"> November 2020</w:t>
      </w:r>
    </w:p>
    <w:p w:rsidR="008A3824" w:rsidRPr="008A3824" w:rsidRDefault="008A3824" w:rsidP="008A3824">
      <w:pPr>
        <w:spacing w:before="200"/>
        <w:rPr>
          <w:rFonts w:eastAsiaTheme="minorEastAsia"/>
        </w:rPr>
      </w:pPr>
      <w:r w:rsidRPr="008A3824">
        <w:rPr>
          <w:rFonts w:eastAsiaTheme="minorEastAsia"/>
        </w:rPr>
        <w:t>Cancer services worldwide had to adapt in response to the COVID-19 pandemic to minimise risk to patients and staff. We aimed to assess the national impact of COVID-19 on the prescribing of systemic anticancer treatment in England, immediately after lockdown and after the introduction of new treatments to reduce patient risk.</w:t>
      </w:r>
    </w:p>
    <w:p w:rsidR="000C0D16" w:rsidRDefault="008A3824" w:rsidP="00FF5709">
      <w:pPr>
        <w:spacing w:before="200"/>
        <w:rPr>
          <w:rFonts w:eastAsiaTheme="minorEastAsia"/>
        </w:rPr>
      </w:pPr>
      <w:r w:rsidRPr="008A3824">
        <w:rPr>
          <w:rFonts w:eastAsiaTheme="minorEastAsia"/>
        </w:rPr>
        <w:t xml:space="preserve">After the onset of the COVID-19 pandemic, there was a reduction in systemic anticancer treatment initiation in England. However, following introduction of treatment options to reduce patient risk, registrations began to increase in May, 2020, and reached higher numbers than the pre-pandemic mean in June, 2020, when other clinical and societal risk mitigation factors (such as telephone consultations, facemasks and physical distancing) are likely to have contributed. However, outcomes of providing less treatment or delaying treatment initiation, particularly for advanced cancers and </w:t>
      </w:r>
      <w:proofErr w:type="spellStart"/>
      <w:r w:rsidRPr="008A3824">
        <w:rPr>
          <w:rFonts w:eastAsiaTheme="minorEastAsia"/>
        </w:rPr>
        <w:t>neoadjuvant</w:t>
      </w:r>
      <w:proofErr w:type="spellEnd"/>
      <w:r w:rsidRPr="008A3824">
        <w:rPr>
          <w:rFonts w:eastAsiaTheme="minorEastAsia"/>
        </w:rPr>
        <w:t xml:space="preserve"> therapies, require continued assessment.</w:t>
      </w:r>
    </w:p>
    <w:p w:rsidR="008A3824" w:rsidRPr="008A3824" w:rsidRDefault="008A3824" w:rsidP="008A3824">
      <w:pPr>
        <w:spacing w:before="200"/>
        <w:rPr>
          <w:rFonts w:eastAsiaTheme="minorEastAsia"/>
        </w:rPr>
      </w:pPr>
      <w:r>
        <w:rPr>
          <w:rFonts w:eastAsiaTheme="minorEastAsia"/>
        </w:rPr>
        <w:t xml:space="preserve">Full paper: </w:t>
      </w:r>
      <w:hyperlink r:id="rId43" w:history="1">
        <w:r w:rsidRPr="008A3824">
          <w:rPr>
            <w:rStyle w:val="Hyperlink"/>
            <w:rFonts w:eastAsiaTheme="minorEastAsia"/>
          </w:rPr>
          <w:t>The effect of clinical decision making for initiation of systemic anticancer treatments in response to the COVID-19 pandemic in England: a retrospective analysis</w:t>
        </w:r>
      </w:hyperlink>
      <w:r>
        <w:rPr>
          <w:rFonts w:eastAsiaTheme="minorEastAsia"/>
        </w:rPr>
        <w:br/>
      </w:r>
    </w:p>
    <w:p w:rsidR="00261D68" w:rsidRDefault="00261D68" w:rsidP="00261D68">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740B84">
        <w:rPr>
          <w:rFonts w:eastAsiaTheme="minorEastAsia"/>
          <w:caps/>
          <w:spacing w:val="15"/>
        </w:rPr>
        <w:t>Digital Health and Care and COVID-19</w:t>
      </w:r>
    </w:p>
    <w:p w:rsidR="00261D68" w:rsidRDefault="00261D68" w:rsidP="00261D68">
      <w:pPr>
        <w:spacing w:before="200"/>
        <w:rPr>
          <w:rFonts w:eastAsiaTheme="minorEastAsia"/>
        </w:rPr>
      </w:pPr>
      <w:r w:rsidRPr="00261D68">
        <w:rPr>
          <w:rFonts w:eastAsiaTheme="minorEastAsia"/>
        </w:rPr>
        <w:t>Professional Record Standards Body</w:t>
      </w:r>
      <w:r>
        <w:rPr>
          <w:rFonts w:eastAsiaTheme="minorEastAsia"/>
        </w:rPr>
        <w:t xml:space="preserve"> | 30</w:t>
      </w:r>
      <w:r w:rsidRPr="00261D68">
        <w:rPr>
          <w:rFonts w:eastAsiaTheme="minorEastAsia"/>
          <w:vertAlign w:val="superscript"/>
        </w:rPr>
        <w:t>th</w:t>
      </w:r>
      <w:r>
        <w:rPr>
          <w:rFonts w:eastAsiaTheme="minorEastAsia"/>
        </w:rPr>
        <w:t xml:space="preserve"> November 2020</w:t>
      </w:r>
    </w:p>
    <w:p w:rsidR="00261D68" w:rsidRDefault="00261D68" w:rsidP="00261D68">
      <w:pPr>
        <w:spacing w:before="200"/>
        <w:rPr>
          <w:rFonts w:eastAsiaTheme="minorEastAsia"/>
        </w:rPr>
      </w:pPr>
      <w:r w:rsidRPr="00740B84">
        <w:rPr>
          <w:rFonts w:eastAsiaTheme="minorEastAsia"/>
        </w:rPr>
        <w:t>This report examines the digital transformation of health and care services during the pandemic and recommends how the system can use the lessons from Covid-19 to advance digital change, while maintaining safety and prioritising citizen’s needs. The report is based on consultation with more than 100 PRSB members and partners including the Royal Colleges, social care system leaders, health care providers, patient groups, regulators and others.</w:t>
      </w:r>
    </w:p>
    <w:p w:rsidR="00261D68" w:rsidRDefault="00261D68" w:rsidP="00261D68">
      <w:pPr>
        <w:spacing w:before="200"/>
        <w:rPr>
          <w:rFonts w:eastAsiaTheme="minorEastAsia"/>
        </w:rPr>
      </w:pPr>
      <w:r>
        <w:rPr>
          <w:rFonts w:eastAsiaTheme="minorEastAsia"/>
        </w:rPr>
        <w:t xml:space="preserve">Full report: </w:t>
      </w:r>
      <w:hyperlink r:id="rId44" w:history="1">
        <w:r w:rsidRPr="00261D68">
          <w:rPr>
            <w:rStyle w:val="Hyperlink"/>
            <w:rFonts w:eastAsiaTheme="minorEastAsia"/>
          </w:rPr>
          <w:t>Digital Health and Care and COVID-19</w:t>
        </w:r>
      </w:hyperlink>
    </w:p>
    <w:p w:rsidR="00A82F7D" w:rsidRDefault="00261D68" w:rsidP="00627D72">
      <w:pPr>
        <w:spacing w:before="200"/>
        <w:rPr>
          <w:rFonts w:eastAsiaTheme="minorEastAsia"/>
        </w:rPr>
      </w:pPr>
      <w:r>
        <w:rPr>
          <w:rFonts w:eastAsiaTheme="minorEastAsia"/>
        </w:rPr>
        <w:t xml:space="preserve">See also: </w:t>
      </w:r>
      <w:hyperlink r:id="rId45" w:history="1">
        <w:r w:rsidRPr="00261D68">
          <w:rPr>
            <w:rStyle w:val="Hyperlink"/>
            <w:rFonts w:eastAsiaTheme="minorEastAsia"/>
          </w:rPr>
          <w:t>PRSB reports on lessons from the pandemic on the future of digital care</w:t>
        </w:r>
      </w:hyperlink>
      <w:r w:rsidR="00FE1DF9">
        <w:rPr>
          <w:rStyle w:val="Hyperlink"/>
          <w:rFonts w:eastAsiaTheme="minorEastAsia"/>
        </w:rPr>
        <w:br/>
      </w: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AE24EB" w:rsidRPr="00AE24EB">
        <w:rPr>
          <w:rFonts w:eastAsiaTheme="minorEastAsia"/>
          <w:caps/>
          <w:spacing w:val="15"/>
        </w:rPr>
        <w:t xml:space="preserve">Racial and Ethnic Disparities in COVID-19–Related Infections, </w:t>
      </w:r>
      <w:r w:rsidR="00AE24EB">
        <w:rPr>
          <w:rFonts w:eastAsiaTheme="minorEastAsia"/>
          <w:caps/>
          <w:spacing w:val="15"/>
        </w:rPr>
        <w:t>Hospitalizations, and Deaths</w:t>
      </w:r>
    </w:p>
    <w:p w:rsidR="00420EC3" w:rsidRDefault="00AE24EB" w:rsidP="00581729">
      <w:pPr>
        <w:spacing w:before="200"/>
        <w:rPr>
          <w:rFonts w:eastAsiaTheme="minorEastAsia"/>
        </w:rPr>
      </w:pPr>
      <w:r>
        <w:rPr>
          <w:rFonts w:eastAsiaTheme="minorEastAsia"/>
        </w:rPr>
        <w:t>Annals of Internal Medicine | 1</w:t>
      </w:r>
      <w:r w:rsidRPr="00AE24EB">
        <w:rPr>
          <w:rFonts w:eastAsiaTheme="minorEastAsia"/>
          <w:vertAlign w:val="superscript"/>
        </w:rPr>
        <w:t>st</w:t>
      </w:r>
      <w:r>
        <w:rPr>
          <w:rFonts w:eastAsiaTheme="minorEastAsia"/>
        </w:rPr>
        <w:t xml:space="preserve"> December 2020</w:t>
      </w:r>
    </w:p>
    <w:p w:rsidR="00AE24EB" w:rsidRDefault="00AE24EB" w:rsidP="00581729">
      <w:pPr>
        <w:spacing w:before="200"/>
        <w:rPr>
          <w:rFonts w:eastAsiaTheme="minorEastAsia"/>
        </w:rPr>
      </w:pPr>
      <w:r>
        <w:rPr>
          <w:rFonts w:eastAsiaTheme="minorEastAsia"/>
        </w:rPr>
        <w:t>This r</w:t>
      </w:r>
      <w:r w:rsidRPr="00AE24EB">
        <w:rPr>
          <w:rFonts w:eastAsiaTheme="minorEastAsia"/>
        </w:rPr>
        <w:t xml:space="preserve">eview </w:t>
      </w:r>
      <w:r>
        <w:rPr>
          <w:rFonts w:eastAsiaTheme="minorEastAsia"/>
        </w:rPr>
        <w:t xml:space="preserve">looked </w:t>
      </w:r>
      <w:r w:rsidRPr="00AE24EB">
        <w:rPr>
          <w:rFonts w:eastAsiaTheme="minorEastAsia"/>
        </w:rPr>
        <w:t>to evaluate racial/ethnic disparities in SARS-CoV-2 infection rates and COVID-19 outcomes</w:t>
      </w:r>
      <w:r>
        <w:rPr>
          <w:rFonts w:eastAsiaTheme="minorEastAsia"/>
        </w:rPr>
        <w:t>.</w:t>
      </w:r>
    </w:p>
    <w:p w:rsidR="00AE24EB" w:rsidRDefault="00AE24EB" w:rsidP="00581729">
      <w:pPr>
        <w:spacing w:before="200"/>
        <w:rPr>
          <w:rFonts w:eastAsiaTheme="minorEastAsia"/>
        </w:rPr>
      </w:pPr>
      <w:r>
        <w:rPr>
          <w:rFonts w:eastAsiaTheme="minorEastAsia"/>
        </w:rPr>
        <w:t>The authors found:</w:t>
      </w:r>
    </w:p>
    <w:p w:rsidR="00AE24EB" w:rsidRDefault="00AE24EB" w:rsidP="00217C26">
      <w:pPr>
        <w:pStyle w:val="ListParagraph"/>
        <w:numPr>
          <w:ilvl w:val="0"/>
          <w:numId w:val="4"/>
        </w:numPr>
        <w:spacing w:before="200"/>
        <w:rPr>
          <w:rFonts w:eastAsiaTheme="minorEastAsia"/>
        </w:rPr>
      </w:pPr>
      <w:r w:rsidRPr="00AE24EB">
        <w:rPr>
          <w:rFonts w:eastAsiaTheme="minorEastAsia"/>
        </w:rPr>
        <w:t xml:space="preserve">African American/Black and Hispanic populations experience disproportionately higher rates of infection, hospitalization, and COVID-19–related mortality compared with non-Hispanic White populations, but not higher case-fatality rates (mostly reported as in-hospital mortality) (moderate- to high-strength evidence). </w:t>
      </w:r>
    </w:p>
    <w:p w:rsidR="00AE24EB" w:rsidRDefault="00AE24EB" w:rsidP="00217C26">
      <w:pPr>
        <w:pStyle w:val="ListParagraph"/>
        <w:numPr>
          <w:ilvl w:val="0"/>
          <w:numId w:val="4"/>
        </w:numPr>
        <w:spacing w:before="200"/>
        <w:rPr>
          <w:rFonts w:eastAsiaTheme="minorEastAsia"/>
        </w:rPr>
      </w:pPr>
      <w:r w:rsidRPr="00AE24EB">
        <w:rPr>
          <w:rFonts w:eastAsiaTheme="minorEastAsia"/>
        </w:rPr>
        <w:t>Asian populations experience similar outcomes to non-Hispanic White populations (low-strength evidence). Outcomes for other racial/ethnic groups have been insufficiently studied.</w:t>
      </w:r>
    </w:p>
    <w:p w:rsidR="00AE24EB" w:rsidRDefault="00AE24EB" w:rsidP="00217C26">
      <w:pPr>
        <w:pStyle w:val="ListParagraph"/>
        <w:numPr>
          <w:ilvl w:val="0"/>
          <w:numId w:val="4"/>
        </w:numPr>
        <w:spacing w:before="200"/>
        <w:rPr>
          <w:rFonts w:eastAsiaTheme="minorEastAsia"/>
        </w:rPr>
      </w:pPr>
      <w:r w:rsidRPr="00AE24EB">
        <w:rPr>
          <w:rFonts w:eastAsiaTheme="minorEastAsia"/>
        </w:rPr>
        <w:t>Health care access and exposure factors may underlie the observed disparities more than susceptibility due to comorbid conditions (low-strength evidence)</w:t>
      </w:r>
      <w:r>
        <w:rPr>
          <w:rFonts w:eastAsiaTheme="minorEastAsia"/>
        </w:rPr>
        <w:t>.</w:t>
      </w:r>
    </w:p>
    <w:p w:rsidR="00AE24EB" w:rsidRPr="00AE24EB" w:rsidRDefault="005E0580" w:rsidP="00AE24EB">
      <w:pPr>
        <w:spacing w:before="200"/>
        <w:ind w:left="45"/>
        <w:rPr>
          <w:rFonts w:eastAsiaTheme="minorEastAsia"/>
        </w:rPr>
      </w:pPr>
      <w:r>
        <w:rPr>
          <w:rFonts w:eastAsiaTheme="minorEastAsia"/>
        </w:rPr>
        <w:t>Full detail</w:t>
      </w:r>
      <w:r w:rsidR="00AE24EB">
        <w:rPr>
          <w:rFonts w:eastAsiaTheme="minorEastAsia"/>
        </w:rPr>
        <w:t xml:space="preserve">: </w:t>
      </w:r>
      <w:hyperlink r:id="rId46" w:history="1">
        <w:r w:rsidR="00AE24EB" w:rsidRPr="00AE24EB">
          <w:rPr>
            <w:rStyle w:val="Hyperlink"/>
            <w:rFonts w:eastAsiaTheme="minorEastAsia"/>
          </w:rPr>
          <w:t>Racial and Ethnic Disparities in COVID-19–Related Infections, Hospitalizations, and Deaths</w:t>
        </w:r>
      </w:hyperlink>
      <w:r w:rsidR="007A2D37">
        <w:rPr>
          <w:rStyle w:val="Hyperlink"/>
          <w:rFonts w:eastAsiaTheme="minorEastAsia"/>
        </w:rPr>
        <w:br/>
      </w:r>
    </w:p>
    <w:p w:rsidR="005A4DB0" w:rsidRDefault="005A4DB0"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007A46A4">
        <w:rPr>
          <w:rFonts w:eastAsiaTheme="minorEastAsia"/>
          <w:b/>
          <w:caps/>
          <w:spacing w:val="15"/>
        </w:rPr>
        <w:t>:</w:t>
      </w:r>
      <w:r w:rsidR="007A46A4" w:rsidRPr="007A46A4">
        <w:t xml:space="preserve"> </w:t>
      </w:r>
      <w:r w:rsidR="007A46A4" w:rsidRPr="007A46A4">
        <w:rPr>
          <w:rFonts w:eastAsiaTheme="minorEastAsia"/>
          <w:caps/>
          <w:spacing w:val="15"/>
        </w:rPr>
        <w:t>Asymptomatic cases may not be infectious, Wuhan study indicates</w:t>
      </w:r>
      <w:r w:rsidRPr="00581729">
        <w:t xml:space="preserve"> </w:t>
      </w:r>
    </w:p>
    <w:p w:rsidR="00AC79C9" w:rsidRDefault="007A46A4" w:rsidP="008563A9">
      <w:r>
        <w:br/>
        <w:t xml:space="preserve">BMJ | </w:t>
      </w:r>
      <w:r w:rsidRPr="007A46A4">
        <w:t>2020;</w:t>
      </w:r>
      <w:r>
        <w:t xml:space="preserve"> </w:t>
      </w:r>
      <w:r w:rsidRPr="007A46A4">
        <w:t>371:</w:t>
      </w:r>
      <w:r>
        <w:t xml:space="preserve"> </w:t>
      </w:r>
      <w:r w:rsidRPr="007A46A4">
        <w:t>m4695</w:t>
      </w:r>
      <w:r>
        <w:t xml:space="preserve"> | 1</w:t>
      </w:r>
      <w:r w:rsidRPr="007A46A4">
        <w:rPr>
          <w:vertAlign w:val="superscript"/>
        </w:rPr>
        <w:t>st</w:t>
      </w:r>
      <w:r>
        <w:t xml:space="preserve"> December 2020</w:t>
      </w:r>
    </w:p>
    <w:p w:rsidR="007A46A4" w:rsidRPr="007A46A4" w:rsidRDefault="007A46A4" w:rsidP="007A46A4">
      <w:r w:rsidRPr="007A46A4">
        <w:t>A mass screening programme of more than 10 million residents of Wuhan, China, performed after SARS-CoV-2 was brought under control, has identified 300 asymptomatic cases of covid-19, none of which was infectious.</w:t>
      </w:r>
    </w:p>
    <w:p w:rsidR="007A46A4" w:rsidRDefault="007A46A4" w:rsidP="007A46A4">
      <w:r w:rsidRPr="007A46A4">
        <w:t>The findings cannot be extrapolated to countries where outbreaks have not been brought under control successfully, said the authors of the report</w:t>
      </w:r>
      <w:r w:rsidR="007A2D37">
        <w:t>.</w:t>
      </w:r>
    </w:p>
    <w:p w:rsidR="007A2D37" w:rsidRDefault="007A2D37" w:rsidP="007A2D37">
      <w:pPr>
        <w:rPr>
          <w:bCs/>
        </w:rPr>
      </w:pPr>
      <w:r>
        <w:t xml:space="preserve">Further detail: </w:t>
      </w:r>
      <w:hyperlink r:id="rId47" w:history="1">
        <w:r w:rsidRPr="007A2D37">
          <w:rPr>
            <w:rStyle w:val="Hyperlink"/>
            <w:bCs/>
          </w:rPr>
          <w:t>Asymptomatic cases may not be infectious, Wuhan study indicates</w:t>
        </w:r>
      </w:hyperlink>
    </w:p>
    <w:p w:rsidR="007A2D37" w:rsidRPr="007A2D37" w:rsidRDefault="007A2D37" w:rsidP="007A2D37">
      <w:pPr>
        <w:rPr>
          <w:bCs/>
        </w:rPr>
      </w:pPr>
      <w:r w:rsidRPr="007A2D37">
        <w:rPr>
          <w:bCs/>
        </w:rPr>
        <w:t xml:space="preserve">Full research: </w:t>
      </w:r>
      <w:hyperlink r:id="rId48" w:history="1">
        <w:r w:rsidRPr="007A2D37">
          <w:rPr>
            <w:rStyle w:val="Hyperlink"/>
            <w:bCs/>
          </w:rPr>
          <w:t>Post-lockdown SARS-CoV-2 nucleic acid screening in nearly ten million residents of Wuhan, China</w:t>
        </w:r>
      </w:hyperlink>
      <w:r>
        <w:rPr>
          <w:bCs/>
        </w:rPr>
        <w:br/>
      </w:r>
    </w:p>
    <w:p w:rsidR="007A2D37" w:rsidRDefault="007A2D37" w:rsidP="007A2D37">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7A2D37">
        <w:rPr>
          <w:rFonts w:eastAsiaTheme="minorEastAsia"/>
          <w:caps/>
          <w:spacing w:val="15"/>
        </w:rPr>
        <w:t>Weekly deaths once again exceeding 20-year average during pandemic’s second wave</w:t>
      </w:r>
    </w:p>
    <w:p w:rsidR="007A2D37" w:rsidRDefault="00D153E6" w:rsidP="007A46A4">
      <w:r>
        <w:br/>
        <w:t>The Nuffield Trust | 3</w:t>
      </w:r>
      <w:r w:rsidRPr="00D153E6">
        <w:rPr>
          <w:vertAlign w:val="superscript"/>
        </w:rPr>
        <w:t>rd</w:t>
      </w:r>
      <w:r>
        <w:t xml:space="preserve"> December 2020</w:t>
      </w:r>
    </w:p>
    <w:p w:rsidR="00D153E6" w:rsidRDefault="00D153E6" w:rsidP="007A46A4">
      <w:r>
        <w:t>Each week The Nuffield Trust</w:t>
      </w:r>
      <w:r w:rsidRPr="00D153E6">
        <w:t xml:space="preserve"> present</w:t>
      </w:r>
      <w:r>
        <w:t>s</w:t>
      </w:r>
      <w:r w:rsidRPr="00D153E6">
        <w:t xml:space="preserve"> analysis of data in chart form to illustrate some key issues and invite discussion. This week, as the second wave of coronavirus leads to the start of another major spike in overall deaths, </w:t>
      </w:r>
      <w:r>
        <w:t>this piece</w:t>
      </w:r>
      <w:r w:rsidRPr="00D153E6">
        <w:t xml:space="preserve"> take</w:t>
      </w:r>
      <w:r>
        <w:t>s</w:t>
      </w:r>
      <w:r w:rsidRPr="00D153E6">
        <w:t xml:space="preserve"> a look at historic trends in weekly mortality and finds cause for concern</w:t>
      </w:r>
      <w:r>
        <w:t>.</w:t>
      </w:r>
    </w:p>
    <w:p w:rsidR="00930E75" w:rsidRDefault="00D153E6">
      <w:r>
        <w:t xml:space="preserve">Full detail: </w:t>
      </w:r>
      <w:hyperlink r:id="rId49" w:history="1">
        <w:r w:rsidRPr="00D153E6">
          <w:rPr>
            <w:rStyle w:val="Hyperlink"/>
            <w:bCs/>
          </w:rPr>
          <w:t>Weekly deaths once again exceeding 20-year average during pandemic’s second wave</w:t>
        </w:r>
      </w:hyperlink>
      <w:bookmarkStart w:id="4" w:name="_GoBack"/>
      <w:bookmarkEnd w:id="4"/>
      <w:r w:rsidR="00420EC3">
        <w:rPr>
          <w:noProof/>
          <w:lang w:eastAsia="en-GB"/>
        </w:rPr>
        <mc:AlternateContent>
          <mc:Choice Requires="wps">
            <w:drawing>
              <wp:anchor distT="0" distB="0" distL="114300" distR="114300" simplePos="0" relativeHeight="251659264" behindDoc="0" locked="0" layoutInCell="1" allowOverlap="1" wp14:anchorId="148F7ED6" wp14:editId="6001964E">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60AD2" w:rsidRDefault="00E60AD2"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F7ED6"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E60AD2" w:rsidRDefault="00E60AD2" w:rsidP="003A63FA">
                      <w:pPr>
                        <w:jc w:val="center"/>
                      </w:pPr>
                    </w:p>
                  </w:txbxContent>
                </v:textbox>
              </v:rect>
            </w:pict>
          </mc:Fallback>
        </mc:AlternateContent>
      </w:r>
      <w:r w:rsidR="00FE1DF9">
        <w:rPr>
          <w:noProof/>
          <w:lang w:eastAsia="en-GB"/>
        </w:rPr>
        <mc:AlternateContent>
          <mc:Choice Requires="wps">
            <w:drawing>
              <wp:anchor distT="0" distB="0" distL="114300" distR="114300" simplePos="0" relativeHeight="251660288" behindDoc="0" locked="0" layoutInCell="1" allowOverlap="1" wp14:anchorId="521FEC3C" wp14:editId="2DB68E18">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AD2" w:rsidRPr="003A63FA" w:rsidRDefault="00E60AD2" w:rsidP="003A63FA">
                            <w:pPr>
                              <w:jc w:val="center"/>
                              <w:rPr>
                                <w:color w:val="FFFFFF" w:themeColor="background1"/>
                                <w:sz w:val="2"/>
                              </w:rPr>
                            </w:pPr>
                          </w:p>
                          <w:p w:rsidR="00E60AD2" w:rsidRDefault="00E60AD2" w:rsidP="003A63FA">
                            <w:pPr>
                              <w:jc w:val="center"/>
                              <w:rPr>
                                <w:color w:val="FFFFFF" w:themeColor="background1"/>
                              </w:rPr>
                            </w:pPr>
                            <w:r w:rsidRPr="003A63FA">
                              <w:rPr>
                                <w:color w:val="FFFFFF" w:themeColor="background1"/>
                              </w:rPr>
                              <w:t>We</w:t>
                            </w:r>
                          </w:p>
                          <w:p w:rsidR="00E60AD2" w:rsidRDefault="00E60AD2" w:rsidP="003A63FA">
                            <w:pPr>
                              <w:jc w:val="center"/>
                              <w:rPr>
                                <w:color w:val="FFFFFF" w:themeColor="background1"/>
                              </w:rPr>
                            </w:pPr>
                          </w:p>
                          <w:p w:rsidR="00E60AD2" w:rsidRDefault="00E60AD2" w:rsidP="003A63FA">
                            <w:pPr>
                              <w:jc w:val="center"/>
                              <w:rPr>
                                <w:color w:val="FFFFFF" w:themeColor="background1"/>
                              </w:rPr>
                            </w:pPr>
                            <w:r w:rsidRPr="003A63FA">
                              <w:rPr>
                                <w:color w:val="FFFFFF" w:themeColor="background1"/>
                              </w:rPr>
                              <w:t xml:space="preserve"> </w:t>
                            </w:r>
                          </w:p>
                          <w:p w:rsidR="00E60AD2" w:rsidRDefault="00E60AD2" w:rsidP="003A63FA">
                            <w:pPr>
                              <w:jc w:val="center"/>
                              <w:rPr>
                                <w:color w:val="FFFFFF" w:themeColor="background1"/>
                              </w:rPr>
                            </w:pPr>
                          </w:p>
                          <w:p w:rsidR="00E60AD2" w:rsidRPr="00C7297D" w:rsidRDefault="00E60AD2" w:rsidP="00C7297D">
                            <w:pPr>
                              <w:jc w:val="center"/>
                            </w:pPr>
                            <w:hyperlink r:id="rId5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1" w:history="1">
                              <w:r w:rsidRPr="00C7297D">
                                <w:rPr>
                                  <w:rStyle w:val="Hyperlink"/>
                                </w:rPr>
                                <w:t>Covid-19 portal</w:t>
                              </w:r>
                            </w:hyperlink>
                            <w:r w:rsidRPr="00C7297D">
                              <w:t>. For daily updates on Covid-19 visit our '</w:t>
                            </w:r>
                            <w:hyperlink r:id="rId52" w:tgtFrame="_blank" w:history="1">
                              <w:r w:rsidRPr="00C7297D">
                                <w:rPr>
                                  <w:rStyle w:val="Hyperlink"/>
                                </w:rPr>
                                <w:t>Latest Health</w:t>
                              </w:r>
                            </w:hyperlink>
                            <w:r w:rsidRPr="00C7297D">
                              <w:t xml:space="preserve">' newsfeed, or use the hashtag </w:t>
                            </w:r>
                            <w:hyperlink r:id="rId53" w:history="1">
                              <w:r w:rsidRPr="00C7297D">
                                <w:rPr>
                                  <w:rStyle w:val="Hyperlink"/>
                                </w:rPr>
                                <w:t>#covid19rftlks</w:t>
                              </w:r>
                            </w:hyperlink>
                            <w:r w:rsidRPr="00C7297D">
                              <w:rPr>
                                <w:u w:val="single"/>
                              </w:rPr>
                              <w:t xml:space="preserve"> </w:t>
                            </w:r>
                            <w:r w:rsidRPr="00C7297D">
                              <w:t>to see our latest tweets on Covid-19 research, guidelines and news.</w:t>
                            </w:r>
                          </w:p>
                          <w:p w:rsidR="00E60AD2" w:rsidRDefault="00E60AD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4" w:history="1">
                              <w:r w:rsidRPr="008A42F4">
                                <w:rPr>
                                  <w:rStyle w:val="Hyperlink"/>
                                  <w:color w:val="339966"/>
                                </w:rPr>
                                <w:t>website</w:t>
                              </w:r>
                            </w:hyperlink>
                            <w:r>
                              <w:rPr>
                                <w:rStyle w:val="Hyperlink"/>
                                <w:color w:val="339966"/>
                              </w:rPr>
                              <w:t xml:space="preserve"> </w:t>
                            </w:r>
                            <w:r w:rsidRPr="008A42F4">
                              <w:t xml:space="preserve"> for more information </w:t>
                            </w:r>
                          </w:p>
                          <w:p w:rsidR="00E60AD2" w:rsidRDefault="00E60AD2" w:rsidP="003A63FA">
                            <w:pPr>
                              <w:jc w:val="center"/>
                              <w:rPr>
                                <w:color w:val="339966"/>
                              </w:rPr>
                            </w:pPr>
                            <w:hyperlink r:id="rId55" w:history="1">
                              <w:r w:rsidRPr="00D90851">
                                <w:rPr>
                                  <w:rStyle w:val="Hyperlink"/>
                                </w:rPr>
                                <w:t>https://www.trftlibraryknowledge.com/health-newsfeeds.html</w:t>
                              </w:r>
                            </w:hyperlink>
                          </w:p>
                          <w:p w:rsidR="00E60AD2" w:rsidRPr="008A42F4" w:rsidRDefault="00E60AD2"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EC3C"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E60AD2" w:rsidRPr="003A63FA" w:rsidRDefault="00E60AD2" w:rsidP="003A63FA">
                      <w:pPr>
                        <w:jc w:val="center"/>
                        <w:rPr>
                          <w:color w:val="FFFFFF" w:themeColor="background1"/>
                          <w:sz w:val="2"/>
                        </w:rPr>
                      </w:pPr>
                    </w:p>
                    <w:p w:rsidR="00E60AD2" w:rsidRDefault="00E60AD2" w:rsidP="003A63FA">
                      <w:pPr>
                        <w:jc w:val="center"/>
                        <w:rPr>
                          <w:color w:val="FFFFFF" w:themeColor="background1"/>
                        </w:rPr>
                      </w:pPr>
                      <w:r w:rsidRPr="003A63FA">
                        <w:rPr>
                          <w:color w:val="FFFFFF" w:themeColor="background1"/>
                        </w:rPr>
                        <w:t>We</w:t>
                      </w:r>
                    </w:p>
                    <w:p w:rsidR="00E60AD2" w:rsidRDefault="00E60AD2" w:rsidP="003A63FA">
                      <w:pPr>
                        <w:jc w:val="center"/>
                        <w:rPr>
                          <w:color w:val="FFFFFF" w:themeColor="background1"/>
                        </w:rPr>
                      </w:pPr>
                    </w:p>
                    <w:p w:rsidR="00E60AD2" w:rsidRDefault="00E60AD2" w:rsidP="003A63FA">
                      <w:pPr>
                        <w:jc w:val="center"/>
                        <w:rPr>
                          <w:color w:val="FFFFFF" w:themeColor="background1"/>
                        </w:rPr>
                      </w:pPr>
                      <w:r w:rsidRPr="003A63FA">
                        <w:rPr>
                          <w:color w:val="FFFFFF" w:themeColor="background1"/>
                        </w:rPr>
                        <w:t xml:space="preserve"> </w:t>
                      </w:r>
                    </w:p>
                    <w:p w:rsidR="00E60AD2" w:rsidRDefault="00E60AD2" w:rsidP="003A63FA">
                      <w:pPr>
                        <w:jc w:val="center"/>
                        <w:rPr>
                          <w:color w:val="FFFFFF" w:themeColor="background1"/>
                        </w:rPr>
                      </w:pPr>
                    </w:p>
                    <w:p w:rsidR="00E60AD2" w:rsidRPr="00C7297D" w:rsidRDefault="00E60AD2" w:rsidP="00C7297D">
                      <w:pPr>
                        <w:jc w:val="center"/>
                      </w:pPr>
                      <w:hyperlink r:id="rId5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7" w:history="1">
                        <w:r w:rsidRPr="00C7297D">
                          <w:rPr>
                            <w:rStyle w:val="Hyperlink"/>
                          </w:rPr>
                          <w:t>Covid-19 portal</w:t>
                        </w:r>
                      </w:hyperlink>
                      <w:r w:rsidRPr="00C7297D">
                        <w:t>. For daily updates on Covid-19 visit our '</w:t>
                      </w:r>
                      <w:hyperlink r:id="rId58" w:tgtFrame="_blank" w:history="1">
                        <w:r w:rsidRPr="00C7297D">
                          <w:rPr>
                            <w:rStyle w:val="Hyperlink"/>
                          </w:rPr>
                          <w:t>Latest Health</w:t>
                        </w:r>
                      </w:hyperlink>
                      <w:r w:rsidRPr="00C7297D">
                        <w:t xml:space="preserve">' newsfeed, or use the hashtag </w:t>
                      </w:r>
                      <w:hyperlink r:id="rId59" w:history="1">
                        <w:r w:rsidRPr="00C7297D">
                          <w:rPr>
                            <w:rStyle w:val="Hyperlink"/>
                          </w:rPr>
                          <w:t>#covid19rftlks</w:t>
                        </w:r>
                      </w:hyperlink>
                      <w:r w:rsidRPr="00C7297D">
                        <w:rPr>
                          <w:u w:val="single"/>
                        </w:rPr>
                        <w:t xml:space="preserve"> </w:t>
                      </w:r>
                      <w:r w:rsidRPr="00C7297D">
                        <w:t>to see our latest tweets on Covid-19 research, guidelines and news.</w:t>
                      </w:r>
                    </w:p>
                    <w:p w:rsidR="00E60AD2" w:rsidRDefault="00E60AD2"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0" w:history="1">
                        <w:r w:rsidRPr="008A42F4">
                          <w:rPr>
                            <w:rStyle w:val="Hyperlink"/>
                            <w:color w:val="339966"/>
                          </w:rPr>
                          <w:t>website</w:t>
                        </w:r>
                      </w:hyperlink>
                      <w:r>
                        <w:rPr>
                          <w:rStyle w:val="Hyperlink"/>
                          <w:color w:val="339966"/>
                        </w:rPr>
                        <w:t xml:space="preserve"> </w:t>
                      </w:r>
                      <w:r w:rsidRPr="008A42F4">
                        <w:t xml:space="preserve"> for more information </w:t>
                      </w:r>
                    </w:p>
                    <w:p w:rsidR="00E60AD2" w:rsidRDefault="00E60AD2" w:rsidP="003A63FA">
                      <w:pPr>
                        <w:jc w:val="center"/>
                        <w:rPr>
                          <w:color w:val="339966"/>
                        </w:rPr>
                      </w:pPr>
                      <w:hyperlink r:id="rId61" w:history="1">
                        <w:r w:rsidRPr="00D90851">
                          <w:rPr>
                            <w:rStyle w:val="Hyperlink"/>
                          </w:rPr>
                          <w:t>https://www.trftlibraryknowledge.com/health-newsfeeds.html</w:t>
                        </w:r>
                      </w:hyperlink>
                    </w:p>
                    <w:p w:rsidR="00E60AD2" w:rsidRPr="008A42F4" w:rsidRDefault="00E60AD2" w:rsidP="003A63FA">
                      <w:pPr>
                        <w:jc w:val="center"/>
                        <w:rPr>
                          <w:color w:val="339966"/>
                        </w:rPr>
                      </w:pPr>
                    </w:p>
                  </w:txbxContent>
                </v:textbox>
              </v:shape>
            </w:pict>
          </mc:Fallback>
        </mc:AlternateContent>
      </w:r>
    </w:p>
    <w:sectPr w:rsidR="00930E75" w:rsidSect="003A63FA">
      <w:headerReference w:type="default" r:id="rId62"/>
      <w:footerReference w:type="default" r:id="rId6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D2" w:rsidRDefault="00E60AD2" w:rsidP="00F06475">
      <w:pPr>
        <w:spacing w:after="0" w:line="240" w:lineRule="auto"/>
      </w:pPr>
      <w:r>
        <w:separator/>
      </w:r>
    </w:p>
  </w:endnote>
  <w:endnote w:type="continuationSeparator" w:id="0">
    <w:p w:rsidR="00E60AD2" w:rsidRDefault="00E60AD2"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E60AD2" w:rsidRDefault="00E60AD2">
        <w:pPr>
          <w:pStyle w:val="Footer"/>
          <w:jc w:val="right"/>
        </w:pPr>
        <w:r>
          <w:fldChar w:fldCharType="begin"/>
        </w:r>
        <w:r>
          <w:instrText xml:space="preserve"> PAGE   \* MERGEFORMAT </w:instrText>
        </w:r>
        <w:r>
          <w:fldChar w:fldCharType="separate"/>
        </w:r>
        <w:r w:rsidR="00FE1DF9">
          <w:rPr>
            <w:noProof/>
          </w:rPr>
          <w:t>15</w:t>
        </w:r>
        <w:r>
          <w:rPr>
            <w:noProof/>
          </w:rPr>
          <w:fldChar w:fldCharType="end"/>
        </w:r>
      </w:p>
    </w:sdtContent>
  </w:sdt>
  <w:p w:rsidR="00E60AD2" w:rsidRDefault="00E60A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D2" w:rsidRDefault="00E60AD2" w:rsidP="00F06475">
      <w:pPr>
        <w:spacing w:after="0" w:line="240" w:lineRule="auto"/>
      </w:pPr>
      <w:r>
        <w:separator/>
      </w:r>
    </w:p>
  </w:footnote>
  <w:footnote w:type="continuationSeparator" w:id="0">
    <w:p w:rsidR="00E60AD2" w:rsidRDefault="00E60AD2"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AD2" w:rsidRDefault="00E60AD2"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0AD2" w:rsidRPr="00244F90" w:rsidRDefault="00E60AD2"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79A8"/>
    <w:multiLevelType w:val="hybridMultilevel"/>
    <w:tmpl w:val="FC90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E5B09"/>
    <w:multiLevelType w:val="hybridMultilevel"/>
    <w:tmpl w:val="72D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40202"/>
    <w:multiLevelType w:val="hybridMultilevel"/>
    <w:tmpl w:val="530426AA"/>
    <w:lvl w:ilvl="0" w:tplc="317855F0">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CB914F2"/>
    <w:multiLevelType w:val="multilevel"/>
    <w:tmpl w:val="749E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E531A8"/>
    <w:multiLevelType w:val="multilevel"/>
    <w:tmpl w:val="5752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2F8"/>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3740F"/>
    <w:rsid w:val="00141A8C"/>
    <w:rsid w:val="00153F4C"/>
    <w:rsid w:val="00154AAD"/>
    <w:rsid w:val="001838F3"/>
    <w:rsid w:val="00191A5C"/>
    <w:rsid w:val="00195BBF"/>
    <w:rsid w:val="001A44E9"/>
    <w:rsid w:val="001A72B7"/>
    <w:rsid w:val="001C2EBC"/>
    <w:rsid w:val="001C5EDB"/>
    <w:rsid w:val="001D22B9"/>
    <w:rsid w:val="001D7A12"/>
    <w:rsid w:val="001E1F53"/>
    <w:rsid w:val="001E7349"/>
    <w:rsid w:val="001F4948"/>
    <w:rsid w:val="00217C26"/>
    <w:rsid w:val="00226237"/>
    <w:rsid w:val="00244F90"/>
    <w:rsid w:val="00250BB8"/>
    <w:rsid w:val="0025346E"/>
    <w:rsid w:val="00261D68"/>
    <w:rsid w:val="00265644"/>
    <w:rsid w:val="00265BB6"/>
    <w:rsid w:val="002765D2"/>
    <w:rsid w:val="002904BE"/>
    <w:rsid w:val="00295936"/>
    <w:rsid w:val="00296882"/>
    <w:rsid w:val="002A4F0F"/>
    <w:rsid w:val="002B21DC"/>
    <w:rsid w:val="002B23D9"/>
    <w:rsid w:val="002C3154"/>
    <w:rsid w:val="002C4727"/>
    <w:rsid w:val="002E5198"/>
    <w:rsid w:val="002F29D4"/>
    <w:rsid w:val="002F5887"/>
    <w:rsid w:val="002F7CA7"/>
    <w:rsid w:val="003016A7"/>
    <w:rsid w:val="003127D8"/>
    <w:rsid w:val="00312E5E"/>
    <w:rsid w:val="00320740"/>
    <w:rsid w:val="00322F38"/>
    <w:rsid w:val="00335522"/>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0E48"/>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8769C"/>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63DCF"/>
    <w:rsid w:val="00565844"/>
    <w:rsid w:val="00567E1C"/>
    <w:rsid w:val="00567F03"/>
    <w:rsid w:val="00576758"/>
    <w:rsid w:val="00581729"/>
    <w:rsid w:val="0058553E"/>
    <w:rsid w:val="00592C31"/>
    <w:rsid w:val="005A1100"/>
    <w:rsid w:val="005A4DB0"/>
    <w:rsid w:val="005A4E8F"/>
    <w:rsid w:val="005A6F07"/>
    <w:rsid w:val="005C56A0"/>
    <w:rsid w:val="005C59FD"/>
    <w:rsid w:val="005E0580"/>
    <w:rsid w:val="005E077A"/>
    <w:rsid w:val="005F1664"/>
    <w:rsid w:val="00600B36"/>
    <w:rsid w:val="00606DC5"/>
    <w:rsid w:val="00611A1C"/>
    <w:rsid w:val="00627C30"/>
    <w:rsid w:val="00627D72"/>
    <w:rsid w:val="006857CB"/>
    <w:rsid w:val="006B7D0B"/>
    <w:rsid w:val="006E07E3"/>
    <w:rsid w:val="006F5EA0"/>
    <w:rsid w:val="006F7BC1"/>
    <w:rsid w:val="00700BA3"/>
    <w:rsid w:val="00725E20"/>
    <w:rsid w:val="00731145"/>
    <w:rsid w:val="007336FB"/>
    <w:rsid w:val="00740B84"/>
    <w:rsid w:val="0074245C"/>
    <w:rsid w:val="00742549"/>
    <w:rsid w:val="007564F4"/>
    <w:rsid w:val="007807CE"/>
    <w:rsid w:val="00781494"/>
    <w:rsid w:val="00781D6C"/>
    <w:rsid w:val="007868FE"/>
    <w:rsid w:val="007A0AFE"/>
    <w:rsid w:val="007A2D37"/>
    <w:rsid w:val="007A46A4"/>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3824"/>
    <w:rsid w:val="008A42F4"/>
    <w:rsid w:val="008B37ED"/>
    <w:rsid w:val="008D3782"/>
    <w:rsid w:val="008E6F90"/>
    <w:rsid w:val="008F5BEF"/>
    <w:rsid w:val="00903083"/>
    <w:rsid w:val="00906A6D"/>
    <w:rsid w:val="00916F0F"/>
    <w:rsid w:val="009248EA"/>
    <w:rsid w:val="00930E75"/>
    <w:rsid w:val="00932C07"/>
    <w:rsid w:val="00934DEA"/>
    <w:rsid w:val="00934EA1"/>
    <w:rsid w:val="00935ECE"/>
    <w:rsid w:val="009360A8"/>
    <w:rsid w:val="00940B2F"/>
    <w:rsid w:val="00940CBE"/>
    <w:rsid w:val="00946A5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24EB"/>
    <w:rsid w:val="00AF6897"/>
    <w:rsid w:val="00B001A0"/>
    <w:rsid w:val="00B001C3"/>
    <w:rsid w:val="00B0096D"/>
    <w:rsid w:val="00B034A0"/>
    <w:rsid w:val="00B137CF"/>
    <w:rsid w:val="00B1542C"/>
    <w:rsid w:val="00B2773A"/>
    <w:rsid w:val="00B36AFD"/>
    <w:rsid w:val="00B40ECA"/>
    <w:rsid w:val="00B5385F"/>
    <w:rsid w:val="00B547CD"/>
    <w:rsid w:val="00B73C50"/>
    <w:rsid w:val="00B74226"/>
    <w:rsid w:val="00B86F1B"/>
    <w:rsid w:val="00B90455"/>
    <w:rsid w:val="00B9520E"/>
    <w:rsid w:val="00BA1AA0"/>
    <w:rsid w:val="00BB2352"/>
    <w:rsid w:val="00BB62CC"/>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153E6"/>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0AD2"/>
    <w:rsid w:val="00E62C16"/>
    <w:rsid w:val="00E7640D"/>
    <w:rsid w:val="00E85AFD"/>
    <w:rsid w:val="00E9159A"/>
    <w:rsid w:val="00E92995"/>
    <w:rsid w:val="00E938C5"/>
    <w:rsid w:val="00EB4FD3"/>
    <w:rsid w:val="00EC0A36"/>
    <w:rsid w:val="00ED09B2"/>
    <w:rsid w:val="00ED4843"/>
    <w:rsid w:val="00EE4ED1"/>
    <w:rsid w:val="00F06475"/>
    <w:rsid w:val="00F26A88"/>
    <w:rsid w:val="00F3226C"/>
    <w:rsid w:val="00F363D3"/>
    <w:rsid w:val="00F40EF6"/>
    <w:rsid w:val="00F41973"/>
    <w:rsid w:val="00F534B4"/>
    <w:rsid w:val="00F61231"/>
    <w:rsid w:val="00F66829"/>
    <w:rsid w:val="00F74E67"/>
    <w:rsid w:val="00F75D44"/>
    <w:rsid w:val="00F775BF"/>
    <w:rsid w:val="00F81CC1"/>
    <w:rsid w:val="00F923D4"/>
    <w:rsid w:val="00F97E75"/>
    <w:rsid w:val="00FA11EB"/>
    <w:rsid w:val="00FA1357"/>
    <w:rsid w:val="00FA2BE8"/>
    <w:rsid w:val="00FC1E79"/>
    <w:rsid w:val="00FC2554"/>
    <w:rsid w:val="00FC63FB"/>
    <w:rsid w:val="00FE1DF9"/>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29A4F4C"/>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138857">
      <w:bodyDiv w:val="1"/>
      <w:marLeft w:val="0"/>
      <w:marRight w:val="0"/>
      <w:marTop w:val="0"/>
      <w:marBottom w:val="0"/>
      <w:divBdr>
        <w:top w:val="none" w:sz="0" w:space="0" w:color="auto"/>
        <w:left w:val="none" w:sz="0" w:space="0" w:color="auto"/>
        <w:bottom w:val="none" w:sz="0" w:space="0" w:color="auto"/>
        <w:right w:val="none" w:sz="0" w:space="0" w:color="auto"/>
      </w:divBdr>
    </w:div>
    <w:div w:id="4622785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7428440">
      <w:bodyDiv w:val="1"/>
      <w:marLeft w:val="0"/>
      <w:marRight w:val="0"/>
      <w:marTop w:val="0"/>
      <w:marBottom w:val="0"/>
      <w:divBdr>
        <w:top w:val="none" w:sz="0" w:space="0" w:color="auto"/>
        <w:left w:val="none" w:sz="0" w:space="0" w:color="auto"/>
        <w:bottom w:val="none" w:sz="0" w:space="0" w:color="auto"/>
        <w:right w:val="none" w:sz="0" w:space="0" w:color="auto"/>
      </w:divBdr>
      <w:divsChild>
        <w:div w:id="1825197112">
          <w:marLeft w:val="600"/>
          <w:marRight w:val="0"/>
          <w:marTop w:val="0"/>
          <w:marBottom w:val="0"/>
          <w:divBdr>
            <w:top w:val="none" w:sz="0" w:space="0" w:color="auto"/>
            <w:left w:val="none" w:sz="0" w:space="0" w:color="auto"/>
            <w:bottom w:val="none" w:sz="0" w:space="0" w:color="auto"/>
            <w:right w:val="none" w:sz="0" w:space="0" w:color="auto"/>
          </w:divBdr>
        </w:div>
        <w:div w:id="1772511709">
          <w:marLeft w:val="600"/>
          <w:marRight w:val="0"/>
          <w:marTop w:val="0"/>
          <w:marBottom w:val="0"/>
          <w:divBdr>
            <w:top w:val="none" w:sz="0" w:space="0" w:color="auto"/>
            <w:left w:val="none" w:sz="0" w:space="0" w:color="auto"/>
            <w:bottom w:val="none" w:sz="0" w:space="0" w:color="auto"/>
            <w:right w:val="none" w:sz="0" w:space="0" w:color="auto"/>
          </w:divBdr>
          <w:divsChild>
            <w:div w:id="1211963936">
              <w:marLeft w:val="0"/>
              <w:marRight w:val="0"/>
              <w:marTop w:val="480"/>
              <w:marBottom w:val="0"/>
              <w:divBdr>
                <w:top w:val="none" w:sz="0" w:space="0" w:color="auto"/>
                <w:left w:val="none" w:sz="0" w:space="0" w:color="auto"/>
                <w:bottom w:val="none" w:sz="0" w:space="0" w:color="auto"/>
                <w:right w:val="none" w:sz="0" w:space="0" w:color="auto"/>
              </w:divBdr>
              <w:divsChild>
                <w:div w:id="1030108212">
                  <w:marLeft w:val="0"/>
                  <w:marRight w:val="0"/>
                  <w:marTop w:val="0"/>
                  <w:marBottom w:val="0"/>
                  <w:divBdr>
                    <w:top w:val="none" w:sz="0" w:space="0" w:color="auto"/>
                    <w:left w:val="none" w:sz="0" w:space="0" w:color="auto"/>
                    <w:bottom w:val="none" w:sz="0" w:space="0" w:color="auto"/>
                    <w:right w:val="none" w:sz="0" w:space="0" w:color="auto"/>
                  </w:divBdr>
                </w:div>
              </w:divsChild>
            </w:div>
            <w:div w:id="1333096652">
              <w:marLeft w:val="0"/>
              <w:marRight w:val="0"/>
              <w:marTop w:val="480"/>
              <w:marBottom w:val="0"/>
              <w:divBdr>
                <w:top w:val="none" w:sz="0" w:space="0" w:color="auto"/>
                <w:left w:val="none" w:sz="0" w:space="0" w:color="auto"/>
                <w:bottom w:val="none" w:sz="0" w:space="0" w:color="auto"/>
                <w:right w:val="none" w:sz="0" w:space="0" w:color="auto"/>
              </w:divBdr>
              <w:divsChild>
                <w:div w:id="2134595902">
                  <w:marLeft w:val="0"/>
                  <w:marRight w:val="0"/>
                  <w:marTop w:val="0"/>
                  <w:marBottom w:val="0"/>
                  <w:divBdr>
                    <w:top w:val="none" w:sz="0" w:space="0" w:color="auto"/>
                    <w:left w:val="none" w:sz="0" w:space="0" w:color="auto"/>
                    <w:bottom w:val="none" w:sz="0" w:space="0" w:color="auto"/>
                    <w:right w:val="none" w:sz="0" w:space="0" w:color="auto"/>
                  </w:divBdr>
                </w:div>
              </w:divsChild>
            </w:div>
            <w:div w:id="31465351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79882452">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48347738">
      <w:bodyDiv w:val="1"/>
      <w:marLeft w:val="0"/>
      <w:marRight w:val="0"/>
      <w:marTop w:val="0"/>
      <w:marBottom w:val="0"/>
      <w:divBdr>
        <w:top w:val="none" w:sz="0" w:space="0" w:color="auto"/>
        <w:left w:val="none" w:sz="0" w:space="0" w:color="auto"/>
        <w:bottom w:val="none" w:sz="0" w:space="0" w:color="auto"/>
        <w:right w:val="none" w:sz="0" w:space="0" w:color="auto"/>
      </w:divBdr>
    </w:div>
    <w:div w:id="559830597">
      <w:bodyDiv w:val="1"/>
      <w:marLeft w:val="0"/>
      <w:marRight w:val="0"/>
      <w:marTop w:val="0"/>
      <w:marBottom w:val="0"/>
      <w:divBdr>
        <w:top w:val="none" w:sz="0" w:space="0" w:color="auto"/>
        <w:left w:val="none" w:sz="0" w:space="0" w:color="auto"/>
        <w:bottom w:val="none" w:sz="0" w:space="0" w:color="auto"/>
        <w:right w:val="none" w:sz="0" w:space="0" w:color="auto"/>
      </w:divBdr>
      <w:divsChild>
        <w:div w:id="1297106997">
          <w:marLeft w:val="0"/>
          <w:marRight w:val="0"/>
          <w:marTop w:val="0"/>
          <w:marBottom w:val="0"/>
          <w:divBdr>
            <w:top w:val="none" w:sz="0" w:space="0" w:color="auto"/>
            <w:left w:val="none" w:sz="0" w:space="0" w:color="auto"/>
            <w:bottom w:val="none" w:sz="0" w:space="0" w:color="auto"/>
            <w:right w:val="none" w:sz="0" w:space="0" w:color="auto"/>
          </w:divBdr>
          <w:divsChild>
            <w:div w:id="6444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67542456">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1737985">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5985772">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6340266">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3810679">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6043338">
      <w:bodyDiv w:val="1"/>
      <w:marLeft w:val="0"/>
      <w:marRight w:val="0"/>
      <w:marTop w:val="0"/>
      <w:marBottom w:val="0"/>
      <w:divBdr>
        <w:top w:val="none" w:sz="0" w:space="0" w:color="auto"/>
        <w:left w:val="none" w:sz="0" w:space="0" w:color="auto"/>
        <w:bottom w:val="none" w:sz="0" w:space="0" w:color="auto"/>
        <w:right w:val="none" w:sz="0" w:space="0" w:color="auto"/>
      </w:divBdr>
      <w:divsChild>
        <w:div w:id="1616785002">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7807194">
      <w:bodyDiv w:val="1"/>
      <w:marLeft w:val="0"/>
      <w:marRight w:val="0"/>
      <w:marTop w:val="0"/>
      <w:marBottom w:val="0"/>
      <w:divBdr>
        <w:top w:val="none" w:sz="0" w:space="0" w:color="auto"/>
        <w:left w:val="none" w:sz="0" w:space="0" w:color="auto"/>
        <w:bottom w:val="none" w:sz="0" w:space="0" w:color="auto"/>
        <w:right w:val="none" w:sz="0" w:space="0" w:color="auto"/>
      </w:divBdr>
      <w:divsChild>
        <w:div w:id="1863087677">
          <w:marLeft w:val="0"/>
          <w:marRight w:val="0"/>
          <w:marTop w:val="150"/>
          <w:marBottom w:val="27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021296">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4377574">
      <w:bodyDiv w:val="1"/>
      <w:marLeft w:val="0"/>
      <w:marRight w:val="0"/>
      <w:marTop w:val="0"/>
      <w:marBottom w:val="0"/>
      <w:divBdr>
        <w:top w:val="none" w:sz="0" w:space="0" w:color="auto"/>
        <w:left w:val="none" w:sz="0" w:space="0" w:color="auto"/>
        <w:bottom w:val="none" w:sz="0" w:space="0" w:color="auto"/>
        <w:right w:val="none" w:sz="0" w:space="0" w:color="auto"/>
      </w:divBdr>
      <w:divsChild>
        <w:div w:id="1528253917">
          <w:marLeft w:val="0"/>
          <w:marRight w:val="0"/>
          <w:marTop w:val="150"/>
          <w:marBottom w:val="270"/>
          <w:divBdr>
            <w:top w:val="none" w:sz="0" w:space="0" w:color="auto"/>
            <w:left w:val="none" w:sz="0" w:space="0" w:color="auto"/>
            <w:bottom w:val="none" w:sz="0" w:space="0" w:color="auto"/>
            <w:right w:val="none" w:sz="0" w:space="0" w:color="auto"/>
          </w:divBdr>
        </w:div>
      </w:divsChild>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1923598">
      <w:bodyDiv w:val="1"/>
      <w:marLeft w:val="0"/>
      <w:marRight w:val="0"/>
      <w:marTop w:val="0"/>
      <w:marBottom w:val="0"/>
      <w:divBdr>
        <w:top w:val="none" w:sz="0" w:space="0" w:color="auto"/>
        <w:left w:val="none" w:sz="0" w:space="0" w:color="auto"/>
        <w:bottom w:val="none" w:sz="0" w:space="0" w:color="auto"/>
        <w:right w:val="none" w:sz="0" w:space="0" w:color="auto"/>
      </w:divBdr>
    </w:div>
    <w:div w:id="1123234734">
      <w:bodyDiv w:val="1"/>
      <w:marLeft w:val="0"/>
      <w:marRight w:val="0"/>
      <w:marTop w:val="0"/>
      <w:marBottom w:val="0"/>
      <w:divBdr>
        <w:top w:val="none" w:sz="0" w:space="0" w:color="auto"/>
        <w:left w:val="none" w:sz="0" w:space="0" w:color="auto"/>
        <w:bottom w:val="none" w:sz="0" w:space="0" w:color="auto"/>
        <w:right w:val="none" w:sz="0" w:space="0" w:color="auto"/>
      </w:divBdr>
      <w:divsChild>
        <w:div w:id="549418617">
          <w:marLeft w:val="0"/>
          <w:marRight w:val="0"/>
          <w:marTop w:val="0"/>
          <w:marBottom w:val="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705227">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984016">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76034860">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85328996">
      <w:bodyDiv w:val="1"/>
      <w:marLeft w:val="0"/>
      <w:marRight w:val="0"/>
      <w:marTop w:val="0"/>
      <w:marBottom w:val="0"/>
      <w:divBdr>
        <w:top w:val="none" w:sz="0" w:space="0" w:color="auto"/>
        <w:left w:val="none" w:sz="0" w:space="0" w:color="auto"/>
        <w:bottom w:val="none" w:sz="0" w:space="0" w:color="auto"/>
        <w:right w:val="none" w:sz="0" w:space="0" w:color="auto"/>
      </w:divBdr>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1804406">
      <w:bodyDiv w:val="1"/>
      <w:marLeft w:val="0"/>
      <w:marRight w:val="0"/>
      <w:marTop w:val="0"/>
      <w:marBottom w:val="0"/>
      <w:divBdr>
        <w:top w:val="none" w:sz="0" w:space="0" w:color="auto"/>
        <w:left w:val="none" w:sz="0" w:space="0" w:color="auto"/>
        <w:bottom w:val="none" w:sz="0" w:space="0" w:color="auto"/>
        <w:right w:val="none" w:sz="0" w:space="0" w:color="auto"/>
      </w:divBdr>
      <w:divsChild>
        <w:div w:id="975794360">
          <w:marLeft w:val="0"/>
          <w:marRight w:val="0"/>
          <w:marTop w:val="150"/>
          <w:marBottom w:val="270"/>
          <w:divBdr>
            <w:top w:val="none" w:sz="0" w:space="0" w:color="auto"/>
            <w:left w:val="none" w:sz="0" w:space="0" w:color="auto"/>
            <w:bottom w:val="none" w:sz="0" w:space="0" w:color="auto"/>
            <w:right w:val="none" w:sz="0" w:space="0" w:color="auto"/>
          </w:divBdr>
        </w:div>
      </w:divsChild>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9999582">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4728618">
      <w:bodyDiv w:val="1"/>
      <w:marLeft w:val="0"/>
      <w:marRight w:val="0"/>
      <w:marTop w:val="0"/>
      <w:marBottom w:val="0"/>
      <w:divBdr>
        <w:top w:val="none" w:sz="0" w:space="0" w:color="auto"/>
        <w:left w:val="none" w:sz="0" w:space="0" w:color="auto"/>
        <w:bottom w:val="none" w:sz="0" w:space="0" w:color="auto"/>
        <w:right w:val="none" w:sz="0" w:space="0" w:color="auto"/>
      </w:divBdr>
      <w:divsChild>
        <w:div w:id="680009920">
          <w:marLeft w:val="0"/>
          <w:marRight w:val="0"/>
          <w:marTop w:val="0"/>
          <w:marBottom w:val="0"/>
          <w:divBdr>
            <w:top w:val="none" w:sz="0" w:space="0" w:color="auto"/>
            <w:left w:val="none" w:sz="0" w:space="0" w:color="auto"/>
            <w:bottom w:val="none" w:sz="0" w:space="0" w:color="auto"/>
            <w:right w:val="none" w:sz="0" w:space="0" w:color="auto"/>
          </w:divBdr>
        </w:div>
      </w:divsChild>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359714">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jm.org/doi/pdf/10.1056/NEJMe2034294?articleTools=true" TargetMode="External"/><Relationship Id="rId18" Type="http://schemas.openxmlformats.org/officeDocument/2006/relationships/hyperlink" Target="https://d3n8a8pro7vhmx.cloudfront.net/marchforchange/pages/326/attachments/original/1606989975/APPG_on_Coronavirus_Interim_Report_December_2020__%282%29.pdf?1606989975" TargetMode="External"/><Relationship Id="rId26" Type="http://schemas.openxmlformats.org/officeDocument/2006/relationships/hyperlink" Target="https://www.bmj.com/content/371/bmj.m4714" TargetMode="External"/><Relationship Id="rId39" Type="http://schemas.openxmlformats.org/officeDocument/2006/relationships/hyperlink" Target="https://www.hsj.co.uk/coronavirus/exclusive-new-guidance-means-few-nhs-staff-now-likely-to-get-covid-vaccine-before-xmas/7029095.article?mkt_tok=eyJpIjoiWkRNMFpEVTBZalJtTkRoayIsInQiOiI0dDQxM2E0aE5yK1pLYk4ydWJWRm5vaVRGU1I0VWtoNDFrXC9LdnB3VXNqTTdZbGdpNVRvdlBVcW1UYXY0eTNZbXZVOGYwbnlmaWJPSlpnQTBFczcrSUJ3TGt1MnlzVTF2Z2U3NVQzSllGNjQxYlVcL1I1UCtwWDhUQmRMT2h1VHFrIn0%3D" TargetMode="External"/><Relationship Id="rId21" Type="http://schemas.openxmlformats.org/officeDocument/2006/relationships/hyperlink" Target="https://www.cqc.org.uk/news/stories/designated-settings-covid-19-patients-leaving-hospital" TargetMode="External"/><Relationship Id="rId34" Type="http://schemas.openxmlformats.org/officeDocument/2006/relationships/hyperlink" Target="https://www.thelancet.com/action/showPdf?pii=S2468-2667%2820%2930269-3" TargetMode="External"/><Relationship Id="rId42" Type="http://schemas.openxmlformats.org/officeDocument/2006/relationships/hyperlink" Target="https://www.bmj.com/content/371/bmj.m4686" TargetMode="External"/><Relationship Id="rId47" Type="http://schemas.openxmlformats.org/officeDocument/2006/relationships/hyperlink" Target="https://www.bmj.com/content/371/bmj.m4695" TargetMode="External"/><Relationship Id="rId50" Type="http://schemas.openxmlformats.org/officeDocument/2006/relationships/hyperlink" Target="https://www.trftlibraryknowledge.com/" TargetMode="External"/><Relationship Id="rId55" Type="http://schemas.openxmlformats.org/officeDocument/2006/relationships/hyperlink" Target="https://www.trftlibraryknowledge.com/health-newsfeeds.html" TargetMode="External"/><Relationship Id="rId63" Type="http://schemas.openxmlformats.org/officeDocument/2006/relationships/footer" Target="footer1.xml"/><Relationship Id="rId7" Type="http://schemas.openxmlformats.org/officeDocument/2006/relationships/hyperlink" Target="https://watermark.silverchair.com/jiaa743.pdf?token=AQECAHi208BE49Ooan9kkhW_Ercy7Dm3ZL_9Cf3qfKAc485ysgAAArowggK2BgkqhkiG9w0BBwagggKnMIICowIBADCCApwGCSqGSIb3DQEHATAeBglghkgBZQMEAS4wEQQMQP7-gufEXun9XA2mAgEQgIICbRcBKM7o2rB0PSgcdMKJShxR3uWhVuwZRQVXgWhwecjssMJ_b6k6Qa8HDz1njAhsin5u0qnq9QR8GKzHFsl-itKRp0MxmnfqPrVNngmi4OqYiKimVddLpV_DSBDyFZzrf1eSsvaOqYv5LsTarguhxco2TtsY9QHeaWz8wL6TvDHYe7Y3CP73mjQ2OJqPy2GiDy-k-V0M4xbmvDF72_WPN6cpwG0Pp0lxtyWu1iBY-4M6Rtag3qJCqGmHJruqmjLB-2yrCaemcjf-ygGTMjoOla5M8SNwNuIRh3qGnK7DdaZQT4pmCqPwg64QvaX_kPEncinidizAixHD8qd-Lw0AwZXbAmvzuUs5wGJNEp0mJDKhqVOozlg7ITctmU7NLs2lmVnIaomRqAZvtoxtnwIwDBDWduyCZeadWiIMlnObdE527Vm4zlbpxNcaJE94f7ixDUeyZ14nuXhQQwX2E0oDEfqucLpnlzklNcts0X6mnDUriEw3cEYz5hGdVhC7xn6tQZe8cPvmdCnIoBrwXgjmqZsiVxVHzZzcL-GvjG4rY1IGY2b9dBZyyET7Y4lBvh__KLtj53gMS8hBBsVuAt8Fhom3sxSijfn_RQw2NbmBy18Uv-mvjSPHuDs-Y20RUlDnupWLzQF1bqRKagp9Nbe97KTUV3QnDfeCOzJLHAeucuMmWqUhUP1Xl1IFMRT1CYZoCGMaypsDrmPIKssXO4UDE2ZLVmvwUq5_OlkRvZDbj8qtHgPDlRSzgH11EJ3tKmVvJUI1gg9-ZgjXVUB6wV60JR3TZn3ZgNDVHCGIYPT85bXl0jMN2Di_DesqsjekHw" TargetMode="External"/><Relationship Id="rId2" Type="http://schemas.openxmlformats.org/officeDocument/2006/relationships/styles" Target="styles.xml"/><Relationship Id="rId16" Type="http://schemas.openxmlformats.org/officeDocument/2006/relationships/hyperlink" Target="https://www.bmj.com/content/371/bmj.m4701" TargetMode="External"/><Relationship Id="rId20" Type="http://schemas.openxmlformats.org/officeDocument/2006/relationships/hyperlink" Target="https://www.gov.uk/government/news/community-testing-to-help-lift-restrictions-in-highest-tiers" TargetMode="External"/><Relationship Id="rId29" Type="http://schemas.openxmlformats.org/officeDocument/2006/relationships/hyperlink" Target="https://www.journalofinfection.com/action/showPdf?pii=S0163-4453%2820%2930717-9" TargetMode="External"/><Relationship Id="rId41" Type="http://schemas.openxmlformats.org/officeDocument/2006/relationships/hyperlink" Target="https://www.gov.uk/government/publications/react-1-study-of-coronavirus-transmission-november-2020-interim-results/react-1-real-time-assessment-of-community-transmission-of-coronavirus-covid-19-in-november-2020" TargetMode="External"/><Relationship Id="rId54" Type="http://schemas.openxmlformats.org/officeDocument/2006/relationships/hyperlink" Target="http://www.trftlibraryknowledge.com/"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pdf/10.1056/NEJMra2026131?articleTools=true" TargetMode="External"/><Relationship Id="rId24" Type="http://schemas.openxmlformats.org/officeDocument/2006/relationships/hyperlink" Target="https://www.gov.uk/government/news/uk-authorises-pfizer-biontech-covid-19-vaccine" TargetMode="External"/><Relationship Id="rId32" Type="http://schemas.openxmlformats.org/officeDocument/2006/relationships/hyperlink" Target="https://investors.modernatx.com/news-releases/news-release-details/moderna-announces-primary-efficacy-analysis-phase-3-cove-study" TargetMode="External"/><Relationship Id="rId37" Type="http://schemas.openxmlformats.org/officeDocument/2006/relationships/hyperlink" Target="https://www.bmj.com/content/371/bmj.m4690" TargetMode="External"/><Relationship Id="rId40" Type="http://schemas.openxmlformats.org/officeDocument/2006/relationships/hyperlink" Target="https://healthwatchnorthyorkshire.co.uk/wp-content/uploads/2020/12/HWNY-COVID-19-Briefing-November-2020.pdf" TargetMode="External"/><Relationship Id="rId45" Type="http://schemas.openxmlformats.org/officeDocument/2006/relationships/hyperlink" Target="https://theprsb.org/2020/11/prsb-reports-on-lessons-from-the-pandemic-on-the-future-of-digital-care/" TargetMode="External"/><Relationship Id="rId53" Type="http://schemas.openxmlformats.org/officeDocument/2006/relationships/hyperlink" Target="https://twitter.com/hashtag/covid19rftlks?src=hashtag_click" TargetMode="External"/><Relationship Id="rId58" Type="http://schemas.openxmlformats.org/officeDocument/2006/relationships/hyperlink" Target="https://trfthealthweeklydigest.wordpress.com/" TargetMode="External"/><Relationship Id="rId5" Type="http://schemas.openxmlformats.org/officeDocument/2006/relationships/footnotes" Target="footnotes.xml"/><Relationship Id="rId15" Type="http://schemas.openxmlformats.org/officeDocument/2006/relationships/hyperlink" Target="https://www.thelancet.com/journals/lanhl/article/PIIS2666-7568(20)30047-7/fulltext" TargetMode="External"/><Relationship Id="rId23" Type="http://schemas.openxmlformats.org/officeDocument/2006/relationships/hyperlink" Target="https://www.magonlinelibrary.com/doi/pdf/10.12968/bjon.2020.29.21.1272" TargetMode="External"/><Relationship Id="rId28" Type="http://schemas.openxmlformats.org/officeDocument/2006/relationships/hyperlink" Target="https://assets.publishing.service.gov.uk/government/uploads/system/uploads/attachment_data/file/940396/Priority_groups_for_coronavirus__COVID-19__vaccination_-_advice_from_the_JCVI__2_December_2020.pdf" TargetMode="External"/><Relationship Id="rId36" Type="http://schemas.openxmlformats.org/officeDocument/2006/relationships/hyperlink" Target="https://reform.uk/sites/default/files/2020-12/201127%20Final.pdf" TargetMode="External"/><Relationship Id="rId49" Type="http://schemas.openxmlformats.org/officeDocument/2006/relationships/hyperlink" Target="https://www.nuffieldtrust.org.uk/resource/chart-of-the-week-weekly-deaths-once-again-exceeding-20-year-average-during-pandemic-s-second-wave" TargetMode="External"/><Relationship Id="rId57" Type="http://schemas.openxmlformats.org/officeDocument/2006/relationships/hyperlink" Target="https://www.trftlibraryknowledge.com/coronavirus.html" TargetMode="External"/><Relationship Id="rId61" Type="http://schemas.openxmlformats.org/officeDocument/2006/relationships/hyperlink" Target="https://www.trftlibraryknowledge.com/health-newsfeeds.html" TargetMode="External"/><Relationship Id="rId10" Type="http://schemas.openxmlformats.org/officeDocument/2006/relationships/hyperlink" Target="https://www.nature.com/articles/s41467-020-19808-4.pdf" TargetMode="External"/><Relationship Id="rId19" Type="http://schemas.openxmlformats.org/officeDocument/2006/relationships/hyperlink" Target="https://assets.publishing.service.gov.uk/government/uploads/system/uploads/attachment_data/file/939876/Analysis_of_the_health_economic_and_social_effects_of_COVID-19_and_the_approach_to_tiering_FINAL__SofS_.pdf" TargetMode="External"/><Relationship Id="rId31" Type="http://schemas.openxmlformats.org/officeDocument/2006/relationships/hyperlink" Target="https://watermark.silverchair.com/jiaa742.pdf?token=AQECAHi208BE49Ooan9kkhW_Ercy7Dm3ZL_9Cf3qfKAc485ysgAAArkwggK1BgkqhkiG9w0BBwagggKmMIICogIBADCCApsGCSqGSIb3DQEHATAeBglghkgBZQMEAS4wEQQMF6UH7TlxFZHAUW4NAgEQgIICbIfJ3NyREcGXJhSzuvKMpMJwSqjEaZBBqCQNINtiW9lh49zbXe32Cd4dk116m_3ovcPhy5cRZ57JlAHwzeRVXqnwdg_OJlkTBUTlNh7NIHJLaMCQBYxDRdteoqMA3ex2OP8rbDbrtnyd3y75uhUaHaCxeddprcNQ-0KMNJaePs0Xi_19sSNDbg883LGssY7nsXLe7AcyK0nqu8BW5A8GTu1GmElfw-f5xtYjzFGLmbKOfGz0sUYuFCs6LkaeS4_Nk84hHeBtGCHDe3_ONmD4yY9Mm1snqexIA4ega5Tzk9QREgrsqchf2PdlDpRPubbTaNhHthnzuBhw5IbZCrz5D3Mrd5_KvP10z_ok_59I7dn_jJsuia1KrCmH1G8tOIXs5NbhJgahRFwe5od28jW2_zPPIKLDhjytFSCkuqEUv9Lo6Ftal4_BllriclUGHY5CXZpUJHw4cneFPFWO8KEkNeeeQGoq8xINOjW848Sb4d-sJhwnUWQmuenfIH4WwR6EJavfTvDHUJ17AwOA6i4tkT075cRJovg_D20VOfUvZrvoGepjiioDIh3NC__IRiuqR9GJannCQqb_jrUkqCLUx_iHfd90lKPkFde12Y7_e-6Ks8p0YVrJ0q3xkLZxoNCD9xQESQCYZ573ILY4w1zqorie0e5w3CRFWXrUtnNVSphyZfg2b1FqiKzDlkYWG6HDucczt_TsoBy2W5y0gSgHnp5O0O9asKUarYa3FQrt7ACQ6UBvvqex3LNxZMhOHg6h6DhmptDkHml67rfKnSGjnPSNTk7hu2zmz-rKYB3FqTxQ8snbSt5FQTJvOpit" TargetMode="External"/><Relationship Id="rId44" Type="http://schemas.openxmlformats.org/officeDocument/2006/relationships/hyperlink" Target="https://theprsb.org/wp-content/uploads/2020/10/Digital-Health-and-Covid-19-v0.1.pdf" TargetMode="External"/><Relationship Id="rId52" Type="http://schemas.openxmlformats.org/officeDocument/2006/relationships/hyperlink" Target="https://trfthealthweeklydigest.wordpress.com/" TargetMode="External"/><Relationship Id="rId60" Type="http://schemas.openxmlformats.org/officeDocument/2006/relationships/hyperlink" Target="http://www.trftlibraryknowledge.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rcid.org/0000-0002-1248-0457" TargetMode="External"/><Relationship Id="rId14" Type="http://schemas.openxmlformats.org/officeDocument/2006/relationships/hyperlink" Target="https://www.thelancet.com/action/showPdf?pii=S2666-7568%2820%2930033-7" TargetMode="External"/><Relationship Id="rId22" Type="http://schemas.openxmlformats.org/officeDocument/2006/relationships/hyperlink" Target="https://www.gov.uk/government/news/care-home-residents-to-be-reunited-with-families-by-christmas?utm_source=1e3dde46-9d0e-4ab0-bc84-90ab4ff929db&amp;utm_medium=email&amp;utm_campaign=govuk-notifications&amp;utm_content=immediate" TargetMode="External"/><Relationship Id="rId27" Type="http://schemas.openxmlformats.org/officeDocument/2006/relationships/hyperlink" Target="https://www.england.nhs.uk/coronavirus/wp-content/uploads/sites/52/2020/11/C0912-urgent-preparing-for-community-pharmacy-to-contribute-to-a-potential-covid-19-19-vaccination-programme-2.pdf" TargetMode="External"/><Relationship Id="rId30" Type="http://schemas.openxmlformats.org/officeDocument/2006/relationships/hyperlink" Target="https://assets.publishing.service.gov.uk/government/uploads/system/uploads/attachment_data/file/939073/S0922_EMG_and_SPI-B_-_Mitigating_risks_of_SARS-CoV-2_transmission_associated_with_household_social_interactions.pdf" TargetMode="External"/><Relationship Id="rId35" Type="http://schemas.openxmlformats.org/officeDocument/2006/relationships/hyperlink" Target="https://www.bmj.com/content/371/bmj.m4654" TargetMode="External"/><Relationship Id="rId43" Type="http://schemas.openxmlformats.org/officeDocument/2006/relationships/hyperlink" Target="https://www.thelancet.com/action/showPdf?pii=S1470-2045%2820%2930619-7" TargetMode="External"/><Relationship Id="rId48" Type="http://schemas.openxmlformats.org/officeDocument/2006/relationships/hyperlink" Target="https://www.nature.com/articles/s41467-020-19802-w" TargetMode="External"/><Relationship Id="rId56" Type="http://schemas.openxmlformats.org/officeDocument/2006/relationships/hyperlink" Target="https://www.trftlibraryknowledge.com/" TargetMode="External"/><Relationship Id="rId64" Type="http://schemas.openxmlformats.org/officeDocument/2006/relationships/fontTable" Target="fontTable.xml"/><Relationship Id="rId8" Type="http://schemas.openxmlformats.org/officeDocument/2006/relationships/hyperlink" Target="https://stm.sciencemag.org/content/scitransmed/early/2020/11/25/scitranslmed.abe4282.full.pdf" TargetMode="External"/><Relationship Id="rId51" Type="http://schemas.openxmlformats.org/officeDocument/2006/relationships/hyperlink" Target="https://www.trftlibraryknowledge.com/coronavirus.html" TargetMode="External"/><Relationship Id="rId3" Type="http://schemas.openxmlformats.org/officeDocument/2006/relationships/settings" Target="settings.xml"/><Relationship Id="rId12" Type="http://schemas.openxmlformats.org/officeDocument/2006/relationships/hyperlink" Target="https://www.nejm.org/doi/pdf/10.1056/NEJMoa2023184?articleTools=true" TargetMode="External"/><Relationship Id="rId17" Type="http://schemas.openxmlformats.org/officeDocument/2006/relationships/hyperlink" Target="https://reader.elsevier.com/reader/sd/pii/S1567134820304780?token=51F03011B5D8BF5AAAFF1E34308E43C0F2DAB24037094E1F6A745C91A674FCF58B3EF1FD192551148A053660B953185D" TargetMode="External"/><Relationship Id="rId25" Type="http://schemas.openxmlformats.org/officeDocument/2006/relationships/hyperlink" Target="https://www.gov.uk/government/news/covid-19-vaccine-authorised-by-medicines-regulator?utm_source=ac808b06-5830-4dff-8f3c-d215cce7975c&amp;utm_medium=email&amp;utm_campaign=govuk-notifications&amp;utm_content=immediate" TargetMode="External"/><Relationship Id="rId33" Type="http://schemas.openxmlformats.org/officeDocument/2006/relationships/hyperlink" Target="https://www.bmj.com/content/371/bmj.m4709" TargetMode="External"/><Relationship Id="rId38" Type="http://schemas.openxmlformats.org/officeDocument/2006/relationships/hyperlink" Target="https://www.england.nhs.uk/coronavirus/wp-content/uploads/sites/52/2020/11/LFD_NHSStaff_A4_161120_.pdf" TargetMode="External"/><Relationship Id="rId46" Type="http://schemas.openxmlformats.org/officeDocument/2006/relationships/hyperlink" Target="https://www.acpjournals.org/doi/pdf/10.7326/M20-6306" TargetMode="External"/><Relationship Id="rId59"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15</Pages>
  <Words>5563</Words>
  <Characters>31710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2020-12-02T16:36:00Z</dcterms:created>
  <dcterms:modified xsi:type="dcterms:W3CDTF">2020-12-04T15:51:00Z</dcterms:modified>
</cp:coreProperties>
</file>