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1063" w:rsidRPr="003A63FA" w:rsidRDefault="001A1063" w:rsidP="00DE4846">
                            <w:pPr>
                              <w:rPr>
                                <w:color w:val="FFFFFF" w:themeColor="background1"/>
                                <w:sz w:val="2"/>
                              </w:rPr>
                            </w:pPr>
                          </w:p>
                          <w:p w:rsidR="001A1063" w:rsidRPr="00DE4846" w:rsidRDefault="001A1063" w:rsidP="00836C56">
                            <w:pPr>
                              <w:jc w:val="right"/>
                              <w:rPr>
                                <w:color w:val="FFFFFF" w:themeColor="background1"/>
                                <w:sz w:val="40"/>
                                <w:szCs w:val="40"/>
                              </w:rPr>
                            </w:pPr>
                            <w:r>
                              <w:rPr>
                                <w:color w:val="FFFFFF" w:themeColor="background1"/>
                                <w:sz w:val="40"/>
                                <w:szCs w:val="40"/>
                              </w:rPr>
                              <w:t>COVID-19 weekly update</w:t>
                            </w:r>
                          </w:p>
                          <w:p w:rsidR="001A1063" w:rsidRPr="00DE4846" w:rsidRDefault="001A1063" w:rsidP="00C44296">
                            <w:pPr>
                              <w:jc w:val="right"/>
                              <w:rPr>
                                <w:color w:val="FFFFFF" w:themeColor="background1"/>
                                <w:sz w:val="32"/>
                                <w:szCs w:val="36"/>
                              </w:rPr>
                            </w:pPr>
                            <w:r>
                              <w:rPr>
                                <w:color w:val="FFFFFF" w:themeColor="background1"/>
                                <w:sz w:val="32"/>
                                <w:szCs w:val="36"/>
                              </w:rPr>
                              <w:t>20</w:t>
                            </w:r>
                            <w:r w:rsidRPr="0017187C">
                              <w:rPr>
                                <w:color w:val="FFFFFF" w:themeColor="background1"/>
                                <w:sz w:val="32"/>
                                <w:szCs w:val="36"/>
                                <w:vertAlign w:val="superscript"/>
                              </w:rPr>
                              <w:t>th</w:t>
                            </w:r>
                            <w:r>
                              <w:rPr>
                                <w:color w:val="FFFFFF" w:themeColor="background1"/>
                                <w:sz w:val="32"/>
                                <w:szCs w:val="36"/>
                              </w:rPr>
                              <w:t xml:space="preserve"> September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1A1063" w:rsidRPr="003A63FA" w:rsidRDefault="001A1063" w:rsidP="00DE4846">
                      <w:pPr>
                        <w:rPr>
                          <w:color w:val="FFFFFF" w:themeColor="background1"/>
                          <w:sz w:val="2"/>
                        </w:rPr>
                      </w:pPr>
                    </w:p>
                    <w:p w:rsidR="001A1063" w:rsidRPr="00DE4846" w:rsidRDefault="001A1063" w:rsidP="00836C56">
                      <w:pPr>
                        <w:jc w:val="right"/>
                        <w:rPr>
                          <w:color w:val="FFFFFF" w:themeColor="background1"/>
                          <w:sz w:val="40"/>
                          <w:szCs w:val="40"/>
                        </w:rPr>
                      </w:pPr>
                      <w:r>
                        <w:rPr>
                          <w:color w:val="FFFFFF" w:themeColor="background1"/>
                          <w:sz w:val="40"/>
                          <w:szCs w:val="40"/>
                        </w:rPr>
                        <w:t>COVID-19 weekly update</w:t>
                      </w:r>
                    </w:p>
                    <w:p w:rsidR="001A1063" w:rsidRPr="00DE4846" w:rsidRDefault="001A1063" w:rsidP="00C44296">
                      <w:pPr>
                        <w:jc w:val="right"/>
                        <w:rPr>
                          <w:color w:val="FFFFFF" w:themeColor="background1"/>
                          <w:sz w:val="32"/>
                          <w:szCs w:val="36"/>
                        </w:rPr>
                      </w:pPr>
                      <w:r>
                        <w:rPr>
                          <w:color w:val="FFFFFF" w:themeColor="background1"/>
                          <w:sz w:val="32"/>
                          <w:szCs w:val="36"/>
                        </w:rPr>
                        <w:t>20</w:t>
                      </w:r>
                      <w:r w:rsidRPr="0017187C">
                        <w:rPr>
                          <w:color w:val="FFFFFF" w:themeColor="background1"/>
                          <w:sz w:val="32"/>
                          <w:szCs w:val="36"/>
                          <w:vertAlign w:val="superscript"/>
                        </w:rPr>
                        <w:t>th</w:t>
                      </w:r>
                      <w:r>
                        <w:rPr>
                          <w:color w:val="FFFFFF" w:themeColor="background1"/>
                          <w:sz w:val="32"/>
                          <w:szCs w:val="36"/>
                        </w:rPr>
                        <w:t xml:space="preserve"> September 2022</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A1063" w:rsidRDefault="001A1063"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1A1063" w:rsidRDefault="001A1063"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04D35" w:rsidRPr="00D04D35" w:rsidRDefault="00407C28" w:rsidP="007F331F">
      <w:pPr>
        <w:rPr>
          <w:b/>
          <w:color w:val="943634" w:themeColor="accent2" w:themeShade="BF"/>
        </w:rPr>
      </w:pPr>
      <w:r>
        <w:rPr>
          <w:b/>
          <w:color w:val="943634" w:themeColor="accent2" w:themeShade="BF"/>
          <w:sz w:val="40"/>
          <w:szCs w:val="32"/>
        </w:rPr>
        <w:br/>
      </w:r>
      <w:r>
        <w:rPr>
          <w:b/>
          <w:color w:val="943634" w:themeColor="accent2" w:themeShade="BF"/>
          <w:sz w:val="40"/>
          <w:szCs w:val="3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D04D35" w:rsidTr="008A0453">
        <w:trPr>
          <w:trHeight w:val="896"/>
        </w:trPr>
        <w:tc>
          <w:tcPr>
            <w:tcW w:w="3005" w:type="dxa"/>
          </w:tcPr>
          <w:p w:rsidR="00921918" w:rsidRDefault="001A1063" w:rsidP="000A4ECD">
            <w:pPr>
              <w:rPr>
                <w:rStyle w:val="Hyperlink"/>
              </w:rPr>
            </w:pPr>
            <w:hyperlink w:anchor="Clinical" w:history="1">
              <w:r w:rsidR="00975BE9" w:rsidRPr="008E074A">
                <w:rPr>
                  <w:rStyle w:val="Hyperlink"/>
                </w:rPr>
                <w:t>Clinical management</w:t>
              </w:r>
            </w:hyperlink>
            <w:r w:rsidR="004F7DDF">
              <w:rPr>
                <w:rStyle w:val="Hyperlink"/>
              </w:rPr>
              <w:br/>
            </w:r>
            <w:hyperlink w:anchor="Long" w:history="1">
              <w:r w:rsidR="00921918" w:rsidRPr="00BD72AD">
                <w:rPr>
                  <w:rStyle w:val="Hyperlink"/>
                </w:rPr>
                <w:t>Long-term</w:t>
              </w:r>
              <w:r w:rsidR="00921918" w:rsidRPr="00BD72AD">
                <w:rPr>
                  <w:rStyle w:val="Hyperlink"/>
                </w:rPr>
                <w:t xml:space="preserve"> </w:t>
              </w:r>
              <w:r w:rsidR="00921918" w:rsidRPr="00BD72AD">
                <w:rPr>
                  <w:rStyle w:val="Hyperlink"/>
                </w:rPr>
                <w:t>effects</w:t>
              </w:r>
            </w:hyperlink>
          </w:p>
          <w:p w:rsidR="008A0453" w:rsidRDefault="001A1063" w:rsidP="000A4ECD">
            <w:pPr>
              <w:rPr>
                <w:rStyle w:val="Hyperlink"/>
              </w:rPr>
            </w:pPr>
            <w:hyperlink w:anchor="Rates" w:history="1">
              <w:r w:rsidR="00921918" w:rsidRPr="004F7DDF">
                <w:rPr>
                  <w:rStyle w:val="Hyperlink"/>
                </w:rPr>
                <w:t xml:space="preserve">Rates &amp; </w:t>
              </w:r>
              <w:r w:rsidR="00921918" w:rsidRPr="004F7DDF">
                <w:rPr>
                  <w:rStyle w:val="Hyperlink"/>
                </w:rPr>
                <w:t>v</w:t>
              </w:r>
              <w:r w:rsidR="00921918" w:rsidRPr="004F7DDF">
                <w:rPr>
                  <w:rStyle w:val="Hyperlink"/>
                </w:rPr>
                <w:t>ariants</w:t>
              </w:r>
            </w:hyperlink>
            <w:r w:rsidR="004F7DDF">
              <w:rPr>
                <w:rStyle w:val="Hyperlink"/>
              </w:rPr>
              <w:br/>
            </w:r>
          </w:p>
          <w:p w:rsidR="006512CF" w:rsidRPr="00975BE9" w:rsidRDefault="006512CF" w:rsidP="00903C59">
            <w:pPr>
              <w:rPr>
                <w:color w:val="943634" w:themeColor="accent2" w:themeShade="BF"/>
              </w:rPr>
            </w:pPr>
          </w:p>
        </w:tc>
        <w:tc>
          <w:tcPr>
            <w:tcW w:w="3005" w:type="dxa"/>
          </w:tcPr>
          <w:p w:rsidR="0005026A" w:rsidRDefault="001A1063" w:rsidP="0005026A">
            <w:hyperlink w:anchor="Infection1" w:history="1">
              <w:r w:rsidR="00251388" w:rsidRPr="00BD72AD">
                <w:rPr>
                  <w:rStyle w:val="Hyperlink"/>
                </w:rPr>
                <w:t xml:space="preserve">Infection </w:t>
              </w:r>
              <w:r w:rsidR="00251388" w:rsidRPr="00BD72AD">
                <w:rPr>
                  <w:rStyle w:val="Hyperlink"/>
                </w:rPr>
                <w:t>c</w:t>
              </w:r>
              <w:r w:rsidR="00251388" w:rsidRPr="00BD72AD">
                <w:rPr>
                  <w:rStyle w:val="Hyperlink"/>
                </w:rPr>
                <w:t>ontrol</w:t>
              </w:r>
            </w:hyperlink>
            <w:r w:rsidR="00251388">
              <w:br/>
            </w:r>
            <w:hyperlink w:anchor="Recovery1" w:history="1">
              <w:r w:rsidR="00B434F4" w:rsidRPr="00E81F07">
                <w:rPr>
                  <w:rStyle w:val="Hyperlink"/>
                </w:rPr>
                <w:t>R</w:t>
              </w:r>
              <w:r w:rsidR="00B434F4" w:rsidRPr="00E81F07">
                <w:rPr>
                  <w:rStyle w:val="Hyperlink"/>
                </w:rPr>
                <w:t>e</w:t>
              </w:r>
              <w:r w:rsidR="00B434F4" w:rsidRPr="00E81F07">
                <w:rPr>
                  <w:rStyle w:val="Hyperlink"/>
                </w:rPr>
                <w:t>covery</w:t>
              </w:r>
            </w:hyperlink>
            <w:r w:rsidR="00BD72AD">
              <w:rPr>
                <w:rStyle w:val="Hyperlink"/>
              </w:rPr>
              <w:br/>
            </w:r>
            <w:hyperlink w:anchor="Workforce" w:history="1">
              <w:r w:rsidR="003934AD" w:rsidRPr="006C3C41">
                <w:rPr>
                  <w:rStyle w:val="Hyperlink"/>
                </w:rPr>
                <w:t>Workforc</w:t>
              </w:r>
              <w:r w:rsidR="003934AD" w:rsidRPr="006C3C41">
                <w:rPr>
                  <w:rStyle w:val="Hyperlink"/>
                </w:rPr>
                <w:t>e</w:t>
              </w:r>
              <w:r w:rsidR="003934AD" w:rsidRPr="006C3C41">
                <w:rPr>
                  <w:rStyle w:val="Hyperlink"/>
                </w:rPr>
                <w:t xml:space="preserve"> </w:t>
              </w:r>
              <w:proofErr w:type="spellStart"/>
              <w:r w:rsidR="003934AD" w:rsidRPr="006C3C41">
                <w:rPr>
                  <w:rStyle w:val="Hyperlink"/>
                </w:rPr>
                <w:t>welleing</w:t>
              </w:r>
              <w:proofErr w:type="spellEnd"/>
            </w:hyperlink>
          </w:p>
          <w:p w:rsidR="003B5A2F" w:rsidRPr="00975BE9" w:rsidRDefault="003B5A2F" w:rsidP="008A0453">
            <w:pPr>
              <w:rPr>
                <w:color w:val="943634" w:themeColor="accent2" w:themeShade="BF"/>
              </w:rPr>
            </w:pPr>
          </w:p>
        </w:tc>
        <w:tc>
          <w:tcPr>
            <w:tcW w:w="3006" w:type="dxa"/>
          </w:tcPr>
          <w:p w:rsidR="00F52148" w:rsidRDefault="001A1063" w:rsidP="002E5DD9">
            <w:pPr>
              <w:rPr>
                <w:rStyle w:val="Hyperlink"/>
              </w:rPr>
            </w:pPr>
            <w:hyperlink w:anchor="Public" w:history="1">
              <w:r w:rsidR="002E5DD9" w:rsidRPr="00E23897">
                <w:rPr>
                  <w:rStyle w:val="Hyperlink"/>
                </w:rPr>
                <w:t xml:space="preserve">Public health </w:t>
              </w:r>
              <w:r w:rsidR="002E5DD9" w:rsidRPr="00E23897">
                <w:rPr>
                  <w:rStyle w:val="Hyperlink"/>
                </w:rPr>
                <w:t>&amp;</w:t>
              </w:r>
              <w:r w:rsidR="002E5DD9" w:rsidRPr="00E23897">
                <w:rPr>
                  <w:rStyle w:val="Hyperlink"/>
                </w:rPr>
                <w:t xml:space="preserve"> health inequalities</w:t>
              </w:r>
            </w:hyperlink>
          </w:p>
          <w:p w:rsidR="00D04D35" w:rsidRPr="00975BE9" w:rsidRDefault="00F86A03" w:rsidP="002E5DD9">
            <w:pPr>
              <w:rPr>
                <w:color w:val="943634" w:themeColor="accent2" w:themeShade="BF"/>
              </w:rPr>
            </w:pPr>
            <w:r>
              <w:br/>
            </w:r>
          </w:p>
        </w:tc>
      </w:tr>
    </w:tbl>
    <w:p w:rsidR="00CA2E8A" w:rsidRPr="00627D72"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bookmarkStart w:id="0" w:name="Clinical"/>
      <w:bookmarkEnd w:id="0"/>
      <w:r>
        <w:rPr>
          <w:rFonts w:ascii="Dotum" w:eastAsiaTheme="minorEastAsia" w:hAnsi="Dotum"/>
          <w:b/>
          <w:bCs/>
          <w:caps/>
          <w:color w:val="FFFFFF" w:themeColor="background1"/>
          <w:spacing w:val="15"/>
        </w:rPr>
        <w:t>clinical management</w:t>
      </w:r>
      <w:r w:rsidR="00CA2E8A">
        <w:rPr>
          <w:rFonts w:ascii="Dotum" w:eastAsiaTheme="minorEastAsia" w:hAnsi="Dotum"/>
          <w:b/>
          <w:bCs/>
          <w:caps/>
          <w:color w:val="FFFFFF" w:themeColor="background1"/>
          <w:spacing w:val="15"/>
        </w:rPr>
        <w:tab/>
      </w:r>
    </w:p>
    <w:p w:rsidR="00BD329D" w:rsidRDefault="00BD329D" w:rsidP="00BD329D">
      <w:pPr>
        <w:pBdr>
          <w:top w:val="single" w:sz="6" w:space="2" w:color="D4802C"/>
          <w:left w:val="single" w:sz="6" w:space="2" w:color="D4802C"/>
        </w:pBdr>
        <w:spacing w:before="300"/>
        <w:outlineLvl w:val="2"/>
        <w:rPr>
          <w:rFonts w:eastAsiaTheme="minorEastAsia"/>
          <w:caps/>
          <w:color w:val="auto"/>
          <w:spacing w:val="15"/>
        </w:rPr>
      </w:pPr>
      <w:r>
        <w:rPr>
          <w:rFonts w:eastAsiaTheme="minorEastAsia"/>
          <w:b/>
          <w:caps/>
          <w:spacing w:val="15"/>
        </w:rPr>
        <w:t>title:</w:t>
      </w:r>
      <w:r>
        <w:rPr>
          <w:rFonts w:eastAsiaTheme="minorEastAsia"/>
          <w:caps/>
          <w:spacing w:val="15"/>
        </w:rPr>
        <w:t xml:space="preserve"> </w:t>
      </w:r>
      <w:r w:rsidR="001579A9" w:rsidRPr="001579A9">
        <w:rPr>
          <w:rFonts w:eastAsiaTheme="minorEastAsia"/>
          <w:caps/>
          <w:spacing w:val="15"/>
        </w:rPr>
        <w:t xml:space="preserve">Update to living </w:t>
      </w:r>
      <w:proofErr w:type="gramStart"/>
      <w:r w:rsidR="001579A9" w:rsidRPr="001579A9">
        <w:rPr>
          <w:rFonts w:eastAsiaTheme="minorEastAsia"/>
          <w:caps/>
          <w:spacing w:val="15"/>
        </w:rPr>
        <w:t>WHO</w:t>
      </w:r>
      <w:proofErr w:type="gramEnd"/>
      <w:r w:rsidR="001579A9" w:rsidRPr="001579A9">
        <w:rPr>
          <w:rFonts w:eastAsiaTheme="minorEastAsia"/>
          <w:caps/>
          <w:spacing w:val="15"/>
        </w:rPr>
        <w:t xml:space="preserve"> guideline on drugs for covid-19</w:t>
      </w:r>
    </w:p>
    <w:p w:rsidR="001579A9" w:rsidRDefault="001579A9" w:rsidP="001579A9">
      <w:pPr>
        <w:pBdr>
          <w:top w:val="single" w:sz="6" w:space="2" w:color="D4802C"/>
          <w:left w:val="single" w:sz="6" w:space="2" w:color="D4802C"/>
        </w:pBdr>
        <w:spacing w:before="300"/>
        <w:outlineLvl w:val="2"/>
      </w:pPr>
      <w:r>
        <w:rPr>
          <w:rFonts w:eastAsiaTheme="minorEastAsia"/>
          <w:caps/>
          <w:spacing w:val="15"/>
        </w:rPr>
        <w:t>BMJ | 15</w:t>
      </w:r>
      <w:r w:rsidR="00BD329D">
        <w:rPr>
          <w:rFonts w:eastAsiaTheme="minorEastAsia"/>
          <w:caps/>
          <w:spacing w:val="15"/>
          <w:vertAlign w:val="superscript"/>
        </w:rPr>
        <w:t>th</w:t>
      </w:r>
      <w:r w:rsidR="006E1452">
        <w:rPr>
          <w:rFonts w:eastAsiaTheme="minorEastAsia"/>
          <w:caps/>
          <w:spacing w:val="15"/>
        </w:rPr>
        <w:t xml:space="preserve"> SEPTember</w:t>
      </w:r>
      <w:r w:rsidR="00BD329D">
        <w:rPr>
          <w:rFonts w:eastAsiaTheme="minorEastAsia"/>
          <w:caps/>
          <w:spacing w:val="15"/>
        </w:rPr>
        <w:t xml:space="preserve"> 2022</w:t>
      </w:r>
      <w:r w:rsidR="006E1452">
        <w:rPr>
          <w:rFonts w:eastAsiaTheme="minorEastAsia"/>
          <w:caps/>
          <w:spacing w:val="15"/>
        </w:rPr>
        <w:br/>
      </w:r>
      <w:r w:rsidR="006E1452">
        <w:rPr>
          <w:rFonts w:eastAsiaTheme="minorEastAsia"/>
          <w:caps/>
          <w:spacing w:val="15"/>
        </w:rPr>
        <w:br/>
      </w:r>
      <w:r>
        <w:t>This living guideline by Agarwal and colleagues (BMJ 2020</w:t>
      </w:r>
      <w:proofErr w:type="gramStart"/>
      <w:r>
        <w:t>;370:m3379</w:t>
      </w:r>
      <w:proofErr w:type="gramEnd"/>
      <w:r>
        <w:t>) has been updated. For the latest update, visit doi:10.1136/bmj.m3379. The latest version of this WHO living guidance provides three new or updated recommendations:</w:t>
      </w:r>
    </w:p>
    <w:p w:rsidR="001579A9" w:rsidRDefault="003934AD" w:rsidP="001579A9">
      <w:pPr>
        <w:pBdr>
          <w:top w:val="single" w:sz="6" w:space="2" w:color="D4802C"/>
          <w:left w:val="single" w:sz="6" w:space="2" w:color="D4802C"/>
        </w:pBdr>
        <w:spacing w:before="300"/>
        <w:outlineLvl w:val="2"/>
      </w:pPr>
      <w:r>
        <w:t xml:space="preserve">- </w:t>
      </w:r>
      <w:r w:rsidR="001579A9">
        <w:t xml:space="preserve">A conditional recommendation for use of </w:t>
      </w:r>
      <w:proofErr w:type="spellStart"/>
      <w:r w:rsidR="001579A9">
        <w:t>remdesivir</w:t>
      </w:r>
      <w:proofErr w:type="spellEnd"/>
      <w:r w:rsidR="001579A9">
        <w:t xml:space="preserve"> in patients with severe covid-19, and a conditional recommendation against its use in patients with critical covid-19</w:t>
      </w:r>
    </w:p>
    <w:p w:rsidR="001579A9" w:rsidRDefault="003934AD" w:rsidP="001579A9">
      <w:pPr>
        <w:pBdr>
          <w:top w:val="single" w:sz="6" w:space="2" w:color="D4802C"/>
          <w:left w:val="single" w:sz="6" w:space="2" w:color="D4802C"/>
        </w:pBdr>
        <w:spacing w:before="300"/>
        <w:outlineLvl w:val="2"/>
      </w:pPr>
      <w:r>
        <w:t xml:space="preserve">- </w:t>
      </w:r>
      <w:r w:rsidR="001579A9">
        <w:t>Concomitant use of interleukin-6 receptor blockers (</w:t>
      </w:r>
      <w:proofErr w:type="spellStart"/>
      <w:r w:rsidR="001579A9">
        <w:t>tocilizumab</w:t>
      </w:r>
      <w:proofErr w:type="spellEnd"/>
      <w:r w:rsidR="001579A9">
        <w:t xml:space="preserve"> or </w:t>
      </w:r>
      <w:proofErr w:type="spellStart"/>
      <w:r w:rsidR="001579A9">
        <w:t>sarilumab</w:t>
      </w:r>
      <w:proofErr w:type="spellEnd"/>
      <w:r w:rsidR="001579A9">
        <w:t xml:space="preserve">) and the </w:t>
      </w:r>
      <w:proofErr w:type="spellStart"/>
      <w:proofErr w:type="gramStart"/>
      <w:r w:rsidR="001579A9">
        <w:t>janus</w:t>
      </w:r>
      <w:proofErr w:type="spellEnd"/>
      <w:proofErr w:type="gramEnd"/>
      <w:r w:rsidR="001579A9">
        <w:t xml:space="preserve"> kinase inhibitor </w:t>
      </w:r>
      <w:proofErr w:type="spellStart"/>
      <w:r w:rsidR="001579A9">
        <w:t>baricitinib</w:t>
      </w:r>
      <w:proofErr w:type="spellEnd"/>
      <w:r w:rsidR="001579A9">
        <w:t>: these drugs may now be combined, in addition to corticosteroids, in patients with severe or critical covid-19</w:t>
      </w:r>
    </w:p>
    <w:p w:rsidR="00BD329D" w:rsidRDefault="003934AD" w:rsidP="001579A9">
      <w:pPr>
        <w:pBdr>
          <w:top w:val="single" w:sz="6" w:space="2" w:color="D4802C"/>
          <w:left w:val="single" w:sz="6" w:space="2" w:color="D4802C"/>
        </w:pBdr>
        <w:spacing w:before="300"/>
        <w:outlineLvl w:val="2"/>
        <w:rPr>
          <w:bCs/>
        </w:rPr>
      </w:pPr>
      <w:r>
        <w:t xml:space="preserve">- </w:t>
      </w:r>
      <w:r w:rsidR="001579A9">
        <w:t xml:space="preserve">Strong recommendations against the use of </w:t>
      </w:r>
      <w:proofErr w:type="spellStart"/>
      <w:r w:rsidR="001579A9">
        <w:t>sotrovimab</w:t>
      </w:r>
      <w:proofErr w:type="spellEnd"/>
      <w:r w:rsidR="001579A9">
        <w:t xml:space="preserve"> and </w:t>
      </w:r>
      <w:proofErr w:type="spellStart"/>
      <w:r w:rsidR="001579A9">
        <w:t>casirivimab-imdevimab</w:t>
      </w:r>
      <w:proofErr w:type="spellEnd"/>
      <w:r w:rsidR="001579A9">
        <w:t xml:space="preserve"> in patients with covid-19, replacing the previous conditional recommendations for their use.</w:t>
      </w:r>
      <w:r w:rsidR="006E1452">
        <w:br/>
      </w:r>
      <w:hyperlink r:id="rId8" w:history="1">
        <w:r w:rsidR="001579A9" w:rsidRPr="00184730">
          <w:rPr>
            <w:rStyle w:val="Hyperlink"/>
            <w:bCs/>
          </w:rPr>
          <w:t>https://www.bmj.com/content/378/bmj.o2224.full</w:t>
        </w:r>
      </w:hyperlink>
      <w:r w:rsidR="001579A9">
        <w:rPr>
          <w:bCs/>
        </w:rPr>
        <w:t xml:space="preserve"> </w:t>
      </w:r>
    </w:p>
    <w:p w:rsidR="00BD329D" w:rsidRDefault="00BD329D" w:rsidP="00BD329D">
      <w:pPr>
        <w:rPr>
          <w:bCs/>
        </w:rPr>
      </w:pPr>
    </w:p>
    <w:p w:rsidR="00BD329D" w:rsidRDefault="00BD329D" w:rsidP="00BD329D">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title:</w:t>
      </w:r>
      <w:r>
        <w:rPr>
          <w:rFonts w:eastAsiaTheme="minorEastAsia"/>
          <w:caps/>
          <w:spacing w:val="15"/>
        </w:rPr>
        <w:t xml:space="preserve"> </w:t>
      </w:r>
      <w:r w:rsidR="001579A9" w:rsidRPr="001579A9">
        <w:rPr>
          <w:rFonts w:eastAsiaTheme="minorEastAsia"/>
          <w:caps/>
          <w:spacing w:val="15"/>
        </w:rPr>
        <w:t>Increased risk of severe COVID-19 outcomes in patients with rheumatoid arthritis and interstitial lung disease</w:t>
      </w:r>
    </w:p>
    <w:p w:rsidR="00BD329D" w:rsidRDefault="006E1452" w:rsidP="00BD329D">
      <w:pPr>
        <w:pBdr>
          <w:top w:val="single" w:sz="6" w:space="2" w:color="D4802C"/>
          <w:left w:val="single" w:sz="6" w:space="2" w:color="D4802C"/>
        </w:pBdr>
        <w:spacing w:before="300"/>
        <w:outlineLvl w:val="2"/>
        <w:rPr>
          <w:bCs/>
        </w:rPr>
      </w:pPr>
      <w:r w:rsidRPr="006E1452">
        <w:rPr>
          <w:rFonts w:eastAsiaTheme="minorEastAsia"/>
          <w:caps/>
          <w:spacing w:val="15"/>
        </w:rPr>
        <w:t>THE</w:t>
      </w:r>
      <w:r w:rsidR="001579A9">
        <w:rPr>
          <w:rFonts w:eastAsiaTheme="minorEastAsia"/>
          <w:caps/>
          <w:spacing w:val="15"/>
        </w:rPr>
        <w:t xml:space="preserve"> LANCET Rheumatology</w:t>
      </w:r>
      <w:r>
        <w:rPr>
          <w:rFonts w:eastAsiaTheme="minorEastAsia"/>
          <w:caps/>
          <w:spacing w:val="15"/>
        </w:rPr>
        <w:t xml:space="preserve"> | </w:t>
      </w:r>
      <w:r w:rsidR="001579A9">
        <w:rPr>
          <w:rFonts w:eastAsiaTheme="minorEastAsia"/>
          <w:caps/>
          <w:spacing w:val="15"/>
        </w:rPr>
        <w:t>13</w:t>
      </w:r>
      <w:r w:rsidR="001579A9" w:rsidRPr="001579A9">
        <w:rPr>
          <w:rFonts w:eastAsiaTheme="minorEastAsia"/>
          <w:caps/>
          <w:spacing w:val="15"/>
          <w:vertAlign w:val="superscript"/>
        </w:rPr>
        <w:t>th</w:t>
      </w:r>
      <w:r w:rsidR="001579A9">
        <w:rPr>
          <w:rFonts w:eastAsiaTheme="minorEastAsia"/>
          <w:caps/>
          <w:spacing w:val="15"/>
        </w:rPr>
        <w:t xml:space="preserve"> </w:t>
      </w:r>
      <w:r w:rsidRPr="006E1452">
        <w:rPr>
          <w:rFonts w:eastAsiaTheme="minorEastAsia"/>
          <w:caps/>
          <w:spacing w:val="15"/>
        </w:rPr>
        <w:t>SEPT</w:t>
      </w:r>
      <w:r>
        <w:rPr>
          <w:rFonts w:eastAsiaTheme="minorEastAsia"/>
          <w:caps/>
          <w:spacing w:val="15"/>
        </w:rPr>
        <w:t>ember</w:t>
      </w:r>
      <w:r w:rsidRPr="006E1452">
        <w:rPr>
          <w:rFonts w:eastAsiaTheme="minorEastAsia"/>
          <w:caps/>
          <w:spacing w:val="15"/>
        </w:rPr>
        <w:t xml:space="preserve"> 2022</w:t>
      </w:r>
      <w:r w:rsidR="00BD329D">
        <w:rPr>
          <w:rFonts w:eastAsiaTheme="minorEastAsia"/>
          <w:caps/>
          <w:spacing w:val="15"/>
        </w:rPr>
        <w:br/>
      </w:r>
      <w:r>
        <w:rPr>
          <w:bCs/>
        </w:rPr>
        <w:br/>
      </w:r>
      <w:r w:rsidR="001579A9">
        <w:rPr>
          <w:bCs/>
        </w:rPr>
        <w:t>…</w:t>
      </w:r>
      <w:r w:rsidR="003934AD">
        <w:rPr>
          <w:bCs/>
        </w:rPr>
        <w:t>The key message from this a</w:t>
      </w:r>
      <w:r w:rsidR="001579A9" w:rsidRPr="001579A9">
        <w:rPr>
          <w:bCs/>
        </w:rPr>
        <w:t xml:space="preserve">rticle is that people with rheumatoid arthritis are at higher risk of developing severe COVID-19, and that, for those with interstitial lung disease, the risk appears especially high. However, several factors remain unknown, including the degree of vaccination that attenuates the risks of severe COVID-19 and how much of the risk is due to the disease rather than drugs used to treat it. Detailed answers to these questions are essential for clinicians if they are to offer patients accurate evidence-based advice. Additional data on the potential contributions of high disease activity and interstitial lung disease subtype </w:t>
      </w:r>
      <w:proofErr w:type="gramStart"/>
      <w:r w:rsidR="001579A9" w:rsidRPr="001579A9">
        <w:rPr>
          <w:bCs/>
        </w:rPr>
        <w:t>could also be provided</w:t>
      </w:r>
      <w:proofErr w:type="gramEnd"/>
      <w:r w:rsidR="001579A9" w:rsidRPr="001579A9">
        <w:rPr>
          <w:bCs/>
        </w:rPr>
        <w:t xml:space="preserve"> in a large prospective study designed to address these issues in a vaccinated rheumatoid arthritis population with detailed therapeutic documentation.</w:t>
      </w:r>
      <w:r>
        <w:rPr>
          <w:bCs/>
        </w:rPr>
        <w:br/>
        <w:t xml:space="preserve"> </w:t>
      </w:r>
      <w:hyperlink r:id="rId9" w:history="1">
        <w:r w:rsidRPr="00021910">
          <w:rPr>
            <w:rStyle w:val="Hyperlink"/>
            <w:bCs/>
          </w:rPr>
          <w:t>https://www.thelancet.com/journals/lanres/article/PIIS2213-2600(22)00261-2/fulltext</w:t>
        </w:r>
      </w:hyperlink>
      <w:r>
        <w:rPr>
          <w:bCs/>
        </w:rPr>
        <w:t xml:space="preserve"> </w:t>
      </w:r>
      <w:r w:rsidR="001579A9">
        <w:rPr>
          <w:bCs/>
        </w:rPr>
        <w:br/>
        <w:t xml:space="preserve">Linked research: </w:t>
      </w:r>
      <w:hyperlink r:id="rId10" w:history="1">
        <w:r w:rsidR="001579A9" w:rsidRPr="001579A9">
          <w:rPr>
            <w:rStyle w:val="Hyperlink"/>
            <w:bCs/>
          </w:rPr>
          <w:t>Risk of severe COVID-19 outcomes associated with rheumatoid arthritis and phenotypic subgroups: a retrospective, comparative, multicentre cohort study</w:t>
        </w:r>
      </w:hyperlink>
    </w:p>
    <w:p w:rsidR="00BD329D" w:rsidRDefault="00BD329D" w:rsidP="00514A07">
      <w:pPr>
        <w:rPr>
          <w:bCs/>
        </w:rPr>
      </w:pPr>
    </w:p>
    <w:p w:rsidR="00672A30" w:rsidRDefault="00672A30" w:rsidP="003934AD">
      <w:pPr>
        <w:pBdr>
          <w:top w:val="single" w:sz="6" w:space="2" w:color="D4802C"/>
          <w:left w:val="single" w:sz="6" w:space="2" w:color="D4802C"/>
        </w:pBdr>
        <w:tabs>
          <w:tab w:val="left" w:pos="1530"/>
        </w:tabs>
        <w:spacing w:before="300"/>
        <w:outlineLvl w:val="2"/>
        <w:rPr>
          <w:bCs/>
        </w:rPr>
      </w:pPr>
      <w:r>
        <w:rPr>
          <w:rFonts w:eastAsiaTheme="minorEastAsia"/>
          <w:b/>
          <w:caps/>
          <w:spacing w:val="15"/>
        </w:rPr>
        <w:t>t</w:t>
      </w:r>
      <w:r w:rsidRPr="008B4670">
        <w:rPr>
          <w:rFonts w:eastAsiaTheme="minorEastAsia"/>
          <w:b/>
          <w:caps/>
          <w:spacing w:val="15"/>
        </w:rPr>
        <w:t>itle:</w:t>
      </w:r>
      <w:r>
        <w:rPr>
          <w:rFonts w:eastAsiaTheme="minorEastAsia"/>
          <w:caps/>
          <w:spacing w:val="15"/>
        </w:rPr>
        <w:t xml:space="preserve"> </w:t>
      </w:r>
      <w:r w:rsidR="001579A9">
        <w:rPr>
          <w:rFonts w:eastAsiaTheme="minorEastAsia"/>
          <w:caps/>
          <w:spacing w:val="15"/>
        </w:rPr>
        <w:t xml:space="preserve"> </w:t>
      </w:r>
      <w:r w:rsidR="001579A9" w:rsidRPr="001579A9">
        <w:rPr>
          <w:rFonts w:eastAsiaTheme="minorEastAsia"/>
          <w:caps/>
          <w:spacing w:val="15"/>
        </w:rPr>
        <w:t>Suspending methotrexate for 2 weeks after COVID-19 vaccination</w:t>
      </w:r>
      <w:r w:rsidR="00B44B4A">
        <w:rPr>
          <w:rFonts w:eastAsiaTheme="minorEastAsia"/>
          <w:caps/>
          <w:spacing w:val="15"/>
        </w:rPr>
        <w:br/>
      </w:r>
      <w:r w:rsidR="00B44B4A">
        <w:rPr>
          <w:rFonts w:eastAsiaTheme="minorEastAsia"/>
          <w:caps/>
          <w:spacing w:val="15"/>
        </w:rPr>
        <w:br/>
        <w:t>the lancet rheumatology</w:t>
      </w:r>
      <w:r>
        <w:rPr>
          <w:rFonts w:eastAsiaTheme="minorEastAsia"/>
          <w:caps/>
          <w:spacing w:val="15"/>
        </w:rPr>
        <w:t xml:space="preserve"> </w:t>
      </w:r>
      <w:r w:rsidR="00B44B4A">
        <w:rPr>
          <w:rFonts w:eastAsiaTheme="minorEastAsia"/>
          <w:caps/>
          <w:spacing w:val="15"/>
        </w:rPr>
        <w:t>|12</w:t>
      </w:r>
      <w:r w:rsidRPr="00672A30">
        <w:rPr>
          <w:rFonts w:eastAsiaTheme="minorEastAsia"/>
          <w:caps/>
          <w:spacing w:val="15"/>
          <w:vertAlign w:val="superscript"/>
        </w:rPr>
        <w:t>th</w:t>
      </w:r>
      <w:r>
        <w:rPr>
          <w:rFonts w:eastAsiaTheme="minorEastAsia"/>
          <w:caps/>
          <w:spacing w:val="15"/>
        </w:rPr>
        <w:t xml:space="preserve"> september</w:t>
      </w:r>
      <w:r w:rsidRPr="005A3D10">
        <w:rPr>
          <w:rFonts w:eastAsiaTheme="minorEastAsia"/>
          <w:caps/>
          <w:spacing w:val="15"/>
        </w:rPr>
        <w:t xml:space="preserve"> 2022</w:t>
      </w:r>
      <w:r>
        <w:rPr>
          <w:rFonts w:eastAsiaTheme="minorEastAsia"/>
          <w:caps/>
          <w:spacing w:val="15"/>
        </w:rPr>
        <w:br/>
      </w:r>
      <w:r>
        <w:rPr>
          <w:color w:val="1A1A1A"/>
        </w:rPr>
        <w:br/>
      </w:r>
      <w:r w:rsidR="00B44B4A">
        <w:rPr>
          <w:color w:val="1A1A1A"/>
        </w:rPr>
        <w:t>…</w:t>
      </w:r>
      <w:r w:rsidR="001579A9" w:rsidRPr="001579A9">
        <w:rPr>
          <w:color w:val="1A1A1A"/>
        </w:rPr>
        <w:t>This study adds to the literature showing that a temporary hold of methotrexate improves the response to primary and booster vaccinations against COVID-19.3,  4,  5 This issue is important given that the COVID-19 pandemic is ongoing globally. As</w:t>
      </w:r>
      <w:r w:rsidR="003934AD">
        <w:rPr>
          <w:color w:val="1A1A1A"/>
        </w:rPr>
        <w:t xml:space="preserve"> a result of emerging evidence,</w:t>
      </w:r>
      <w:r w:rsidR="001579A9" w:rsidRPr="001579A9">
        <w:rPr>
          <w:color w:val="1A1A1A"/>
        </w:rPr>
        <w:t xml:space="preserve"> the British Society of Rheumatology have changed their guidance to support a temporary hold of methotrexate after vaccination</w:t>
      </w:r>
      <w:r w:rsidR="00B44B4A">
        <w:rPr>
          <w:color w:val="1A1A1A"/>
        </w:rPr>
        <w:t>…</w:t>
      </w:r>
      <w:r w:rsidR="00B44B4A">
        <w:rPr>
          <w:color w:val="1A1A1A"/>
        </w:rPr>
        <w:br/>
      </w:r>
      <w:hyperlink r:id="rId11" w:history="1">
        <w:r w:rsidR="00B44B4A" w:rsidRPr="00184730">
          <w:rPr>
            <w:rStyle w:val="Hyperlink"/>
          </w:rPr>
          <w:t>https://www.thelancet.com/journals/lanrhe/article/PIIS2665-9913(22)00265-X/fulltext</w:t>
        </w:r>
      </w:hyperlink>
      <w:r w:rsidR="00B44B4A">
        <w:rPr>
          <w:color w:val="1A1A1A"/>
        </w:rPr>
        <w:t xml:space="preserve"> </w:t>
      </w:r>
    </w:p>
    <w:p w:rsidR="00C44296" w:rsidRDefault="00C44296" w:rsidP="0024067F">
      <w:pPr>
        <w:spacing w:before="200"/>
        <w:rPr>
          <w:rFonts w:eastAsiaTheme="minorEastAsia"/>
        </w:rPr>
      </w:pPr>
    </w:p>
    <w:p w:rsidR="00C44296" w:rsidRPr="00627D72" w:rsidRDefault="00C44296" w:rsidP="00C44296">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1" w:name="Long"/>
      <w:bookmarkStart w:id="2" w:name="_GoBack"/>
      <w:bookmarkEnd w:id="1"/>
      <w:bookmarkEnd w:id="2"/>
      <w:r>
        <w:rPr>
          <w:rFonts w:ascii="Dotum" w:eastAsiaTheme="minorEastAsia" w:hAnsi="Dotum"/>
          <w:b/>
          <w:bCs/>
          <w:caps/>
          <w:color w:val="FFFFFF" w:themeColor="background1"/>
          <w:spacing w:val="15"/>
        </w:rPr>
        <w:t>long term effects</w:t>
      </w:r>
    </w:p>
    <w:p w:rsidR="00B44B4A" w:rsidRPr="008B4670" w:rsidRDefault="00B44B4A" w:rsidP="00B44B4A">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Pr>
          <w:rFonts w:eastAsiaTheme="minorEastAsia"/>
          <w:caps/>
          <w:spacing w:val="15"/>
        </w:rPr>
        <w:t xml:space="preserve"> </w:t>
      </w:r>
      <w:r w:rsidRPr="00B44B4A">
        <w:rPr>
          <w:rFonts w:eastAsiaTheme="minorEastAsia"/>
          <w:caps/>
          <w:spacing w:val="15"/>
        </w:rPr>
        <w:t xml:space="preserve">Covid-19: WHO urges action as 17 million long covid cases </w:t>
      </w:r>
      <w:proofErr w:type="gramStart"/>
      <w:r w:rsidRPr="00B44B4A">
        <w:rPr>
          <w:rFonts w:eastAsiaTheme="minorEastAsia"/>
          <w:caps/>
          <w:spacing w:val="15"/>
        </w:rPr>
        <w:t>are estimated</w:t>
      </w:r>
      <w:proofErr w:type="gramEnd"/>
      <w:r w:rsidRPr="00B44B4A">
        <w:rPr>
          <w:rFonts w:eastAsiaTheme="minorEastAsia"/>
          <w:caps/>
          <w:spacing w:val="15"/>
        </w:rPr>
        <w:t xml:space="preserve"> in Europe</w:t>
      </w:r>
    </w:p>
    <w:p w:rsidR="00B44B4A" w:rsidRDefault="00B44B4A" w:rsidP="00B44B4A">
      <w:pPr>
        <w:pBdr>
          <w:top w:val="single" w:sz="6" w:space="2" w:color="D4802C"/>
          <w:left w:val="single" w:sz="6" w:space="2" w:color="D4802C"/>
        </w:pBdr>
        <w:spacing w:before="300"/>
        <w:outlineLvl w:val="2"/>
      </w:pPr>
      <w:r>
        <w:rPr>
          <w:rFonts w:eastAsiaTheme="minorEastAsia"/>
          <w:caps/>
          <w:spacing w:val="15"/>
        </w:rPr>
        <w:t>BMJ |14</w:t>
      </w:r>
      <w:r w:rsidRPr="00B44B4A">
        <w:rPr>
          <w:rFonts w:eastAsiaTheme="minorEastAsia"/>
          <w:caps/>
          <w:spacing w:val="15"/>
          <w:vertAlign w:val="superscript"/>
        </w:rPr>
        <w:t>th</w:t>
      </w:r>
      <w:r>
        <w:rPr>
          <w:rFonts w:eastAsiaTheme="minorEastAsia"/>
          <w:caps/>
          <w:spacing w:val="15"/>
        </w:rPr>
        <w:t xml:space="preserve"> S</w:t>
      </w:r>
      <w:r w:rsidRPr="006E1452">
        <w:rPr>
          <w:rFonts w:eastAsiaTheme="minorEastAsia"/>
          <w:caps/>
          <w:spacing w:val="15"/>
        </w:rPr>
        <w:t>EPT</w:t>
      </w:r>
      <w:r>
        <w:rPr>
          <w:rFonts w:eastAsiaTheme="minorEastAsia"/>
          <w:caps/>
          <w:spacing w:val="15"/>
        </w:rPr>
        <w:t>ember</w:t>
      </w:r>
      <w:r w:rsidRPr="006E1452">
        <w:rPr>
          <w:rFonts w:eastAsiaTheme="minorEastAsia"/>
          <w:caps/>
          <w:spacing w:val="15"/>
        </w:rPr>
        <w:t xml:space="preserve"> 2022</w:t>
      </w:r>
      <w:r>
        <w:rPr>
          <w:rFonts w:eastAsiaTheme="minorEastAsia"/>
          <w:caps/>
          <w:spacing w:val="15"/>
        </w:rPr>
        <w:br/>
      </w:r>
      <w:r>
        <w:br/>
      </w:r>
      <w:proofErr w:type="gramStart"/>
      <w:r>
        <w:t>An</w:t>
      </w:r>
      <w:proofErr w:type="gramEnd"/>
      <w:r>
        <w:t xml:space="preserve"> estimated 17 million people experienced long </w:t>
      </w:r>
      <w:proofErr w:type="spellStart"/>
      <w:r>
        <w:t>covid</w:t>
      </w:r>
      <w:proofErr w:type="spellEnd"/>
      <w:r>
        <w:t xml:space="preserve"> in the first two years of the pandemic in the European region, new modelling conducted for the World Health Organization has shown.</w:t>
      </w:r>
      <w:r w:rsidR="003934AD">
        <w:t xml:space="preserve"> </w:t>
      </w:r>
      <w:r>
        <w:t xml:space="preserve">WHO Europe has called on countries to take long </w:t>
      </w:r>
      <w:proofErr w:type="spellStart"/>
      <w:r>
        <w:t>covid</w:t>
      </w:r>
      <w:proofErr w:type="spellEnd"/>
      <w:r>
        <w:t xml:space="preserve"> seriously by urgently investing in research, recovery, and rehabilitation. The research, carried out by the Institute for Health Metrics and Evaluation at the University of Washington’s School of Medicine in the United States, estimated the burden of long </w:t>
      </w:r>
      <w:proofErr w:type="spellStart"/>
      <w:r>
        <w:t>covid</w:t>
      </w:r>
      <w:proofErr w:type="spellEnd"/>
      <w:r>
        <w:t xml:space="preserve"> in 2020 and 2021 by looking at a literature review and cohort studies from several countries with access to individual level data. Long </w:t>
      </w:r>
      <w:proofErr w:type="spellStart"/>
      <w:r>
        <w:t>covid</w:t>
      </w:r>
      <w:proofErr w:type="spellEnd"/>
      <w:r>
        <w:t xml:space="preserve"> symptoms </w:t>
      </w:r>
      <w:proofErr w:type="gramStart"/>
      <w:r>
        <w:t>were grouped</w:t>
      </w:r>
      <w:proofErr w:type="gramEnd"/>
      <w:r>
        <w:t xml:space="preserve"> around three symptom clusters: respiratory, cognitive, and fatigue or mood swings.</w:t>
      </w:r>
    </w:p>
    <w:p w:rsidR="00B44B4A" w:rsidRDefault="00B44B4A" w:rsidP="00B44B4A">
      <w:pPr>
        <w:pBdr>
          <w:top w:val="single" w:sz="6" w:space="2" w:color="D4802C"/>
          <w:left w:val="single" w:sz="6" w:space="2" w:color="D4802C"/>
        </w:pBdr>
        <w:spacing w:before="300"/>
        <w:outlineLvl w:val="2"/>
      </w:pPr>
      <w:r>
        <w:t xml:space="preserve">The modelling found that females were twice as likely as males to experience long </w:t>
      </w:r>
      <w:proofErr w:type="spellStart"/>
      <w:r>
        <w:t>covid</w:t>
      </w:r>
      <w:proofErr w:type="spellEnd"/>
      <w:r>
        <w:t xml:space="preserve">, classified as symptoms lasting at least three months. The risk increases dramatically among severe covid-19 cases needing hospital admission, with one in three females and one in five males likely to develop long </w:t>
      </w:r>
      <w:proofErr w:type="spellStart"/>
      <w:r>
        <w:t>covid</w:t>
      </w:r>
      <w:proofErr w:type="spellEnd"/>
      <w:r>
        <w:t>.</w:t>
      </w:r>
    </w:p>
    <w:p w:rsidR="00B44B4A" w:rsidRDefault="00B44B4A" w:rsidP="00B44B4A">
      <w:pPr>
        <w:pBdr>
          <w:top w:val="single" w:sz="6" w:space="2" w:color="D4802C"/>
          <w:left w:val="single" w:sz="6" w:space="2" w:color="D4802C"/>
        </w:pBdr>
        <w:spacing w:before="300"/>
        <w:outlineLvl w:val="2"/>
      </w:pPr>
      <w:r>
        <w:t xml:space="preserve">A recent study published in the Lancet reported that one in eight (12.7%) patients with covid-19 was likely to experience </w:t>
      </w:r>
      <w:proofErr w:type="gramStart"/>
      <w:r>
        <w:t>long term</w:t>
      </w:r>
      <w:proofErr w:type="gramEnd"/>
      <w:r>
        <w:t xml:space="preserve"> symptoms.</w:t>
      </w:r>
      <w:r>
        <w:br/>
      </w:r>
      <w:hyperlink r:id="rId12" w:history="1">
        <w:r w:rsidRPr="00184730">
          <w:rPr>
            <w:rStyle w:val="Hyperlink"/>
          </w:rPr>
          <w:t>https://www.bmj.com/content/378/bmj.o2232</w:t>
        </w:r>
      </w:hyperlink>
      <w:r>
        <w:t xml:space="preserve"> </w:t>
      </w:r>
    </w:p>
    <w:p w:rsidR="00B44B4A" w:rsidRDefault="00B44B4A" w:rsidP="00B44B4A">
      <w:pPr>
        <w:rPr>
          <w:bCs/>
        </w:rPr>
      </w:pPr>
    </w:p>
    <w:p w:rsidR="00B44B4A" w:rsidRDefault="00B44B4A" w:rsidP="00B44B4A">
      <w:pPr>
        <w:pBdr>
          <w:top w:val="single" w:sz="6" w:space="2" w:color="D4802C"/>
          <w:left w:val="single" w:sz="6" w:space="2" w:color="D4802C"/>
        </w:pBdr>
        <w:spacing w:before="300"/>
        <w:outlineLvl w:val="2"/>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B44B4A">
        <w:rPr>
          <w:rFonts w:eastAsiaTheme="minorEastAsia"/>
          <w:caps/>
          <w:spacing w:val="15"/>
        </w:rPr>
        <w:t>Long Covid Europe patient group calls for greater regional collaboration and action at WHO European regional committee</w:t>
      </w:r>
      <w:r>
        <w:rPr>
          <w:rFonts w:eastAsiaTheme="minorEastAsia"/>
          <w:caps/>
          <w:spacing w:val="15"/>
        </w:rPr>
        <w:br/>
      </w:r>
      <w:r>
        <w:rPr>
          <w:rFonts w:eastAsiaTheme="minorEastAsia"/>
          <w:caps/>
          <w:spacing w:val="15"/>
        </w:rPr>
        <w:br/>
        <w:t>the lancet regional health europe | 15</w:t>
      </w:r>
      <w:r w:rsidRPr="006E1452">
        <w:rPr>
          <w:rFonts w:eastAsiaTheme="minorEastAsia"/>
          <w:caps/>
          <w:spacing w:val="15"/>
          <w:vertAlign w:val="superscript"/>
        </w:rPr>
        <w:t>th</w:t>
      </w:r>
      <w:r>
        <w:rPr>
          <w:rFonts w:eastAsiaTheme="minorEastAsia"/>
          <w:caps/>
          <w:spacing w:val="15"/>
        </w:rPr>
        <w:t xml:space="preserve"> SEPTember 2022</w:t>
      </w:r>
      <w:r>
        <w:rPr>
          <w:rFonts w:eastAsiaTheme="minorEastAsia"/>
          <w:caps/>
          <w:spacing w:val="15"/>
        </w:rPr>
        <w:br/>
      </w:r>
      <w:r>
        <w:br/>
        <w:t>…</w:t>
      </w:r>
      <w:r w:rsidRPr="00B44B4A">
        <w:t xml:space="preserve">As we continue to learn about COVID-19 and its lasting health, economic and societal impacts, it is imperative that we collaborate to expedite diagnostic and treatment development. Coordinated country and regional collaboration on research needs to be the next phase of the response. Long COVID affects people across the entire spectrum of society. Many of whom are nurses, doctors, physiotherapists, scientists, teachers or social workers. Those living with Long COVID are often experts on their condition with many now in the third year of their illness. Only by greater involvement of those with lived experience at the forefront of all responses including research, advocacy and care, can we make a meaningful difference in the lives of the millions of people living with and </w:t>
      </w:r>
      <w:proofErr w:type="gramStart"/>
      <w:r w:rsidRPr="00B44B4A">
        <w:t>affected</w:t>
      </w:r>
      <w:proofErr w:type="gramEnd"/>
      <w:r w:rsidRPr="00B44B4A">
        <w:t xml:space="preserve"> by Long COVID.</w:t>
      </w:r>
      <w:r w:rsidR="00DF775C">
        <w:br/>
      </w:r>
      <w:hyperlink r:id="rId13" w:history="1">
        <w:r w:rsidR="00DF775C" w:rsidRPr="00184730">
          <w:rPr>
            <w:rStyle w:val="Hyperlink"/>
          </w:rPr>
          <w:t>https://www.thelancet.com/journals/lanepe/article/PIIS2666-7762(22)00213-7/fulltext</w:t>
        </w:r>
      </w:hyperlink>
      <w:r w:rsidR="00DF775C">
        <w:t xml:space="preserve"> </w:t>
      </w:r>
    </w:p>
    <w:p w:rsidR="00B44B4A" w:rsidRDefault="00B44B4A" w:rsidP="00B44B4A">
      <w:pPr>
        <w:rPr>
          <w:bCs/>
        </w:rPr>
      </w:pPr>
    </w:p>
    <w:p w:rsidR="00B44B4A" w:rsidRPr="008B4670" w:rsidRDefault="00B44B4A" w:rsidP="00B44B4A">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DF775C" w:rsidRPr="00DF775C">
        <w:rPr>
          <w:rFonts w:eastAsiaTheme="minorEastAsia"/>
          <w:caps/>
          <w:spacing w:val="15"/>
        </w:rPr>
        <w:t>Two-Year Health Outcomes in Hospitalized COVID-19 Survivors in China</w:t>
      </w:r>
    </w:p>
    <w:p w:rsidR="00DF775C" w:rsidRPr="00DF775C" w:rsidRDefault="00DF775C" w:rsidP="00DF775C">
      <w:pPr>
        <w:pBdr>
          <w:top w:val="single" w:sz="6" w:space="2" w:color="D4802C"/>
          <w:left w:val="single" w:sz="6" w:space="2" w:color="D4802C"/>
        </w:pBdr>
        <w:spacing w:before="300"/>
        <w:outlineLvl w:val="2"/>
        <w:rPr>
          <w:rFonts w:eastAsiaTheme="minorEastAsia"/>
        </w:rPr>
      </w:pPr>
      <w:r>
        <w:rPr>
          <w:rFonts w:eastAsiaTheme="minorEastAsia"/>
          <w:caps/>
          <w:spacing w:val="15"/>
        </w:rPr>
        <w:t>JAMA | 15</w:t>
      </w:r>
      <w:r w:rsidR="00B44B4A" w:rsidRPr="009124E6">
        <w:rPr>
          <w:rFonts w:eastAsiaTheme="minorEastAsia"/>
          <w:caps/>
          <w:spacing w:val="15"/>
          <w:vertAlign w:val="superscript"/>
        </w:rPr>
        <w:t>th</w:t>
      </w:r>
      <w:r w:rsidR="00B44B4A">
        <w:rPr>
          <w:rFonts w:eastAsiaTheme="minorEastAsia"/>
          <w:caps/>
          <w:spacing w:val="15"/>
        </w:rPr>
        <w:t xml:space="preserve"> september 2022</w:t>
      </w:r>
      <w:r w:rsidR="00B44B4A">
        <w:rPr>
          <w:rFonts w:eastAsiaTheme="minorEastAsia"/>
          <w:caps/>
          <w:spacing w:val="15"/>
        </w:rPr>
        <w:br/>
      </w:r>
      <w:r>
        <w:rPr>
          <w:rFonts w:eastAsiaTheme="minorEastAsia"/>
        </w:rPr>
        <w:br/>
      </w:r>
      <w:proofErr w:type="gramStart"/>
      <w:r w:rsidRPr="00DF775C">
        <w:rPr>
          <w:rFonts w:eastAsiaTheme="minorEastAsia"/>
        </w:rPr>
        <w:t>Question  What</w:t>
      </w:r>
      <w:proofErr w:type="gramEnd"/>
      <w:r w:rsidRPr="00DF775C">
        <w:rPr>
          <w:rFonts w:eastAsiaTheme="minorEastAsia"/>
        </w:rPr>
        <w:t xml:space="preserve"> are the 2-year health outcomes among patients hospitalized for COVID-19 in China?</w:t>
      </w:r>
    </w:p>
    <w:p w:rsidR="00DF775C" w:rsidRPr="00DF775C" w:rsidRDefault="00DF775C" w:rsidP="00DF775C">
      <w:pPr>
        <w:pBdr>
          <w:top w:val="single" w:sz="6" w:space="2" w:color="D4802C"/>
          <w:left w:val="single" w:sz="6" w:space="2" w:color="D4802C"/>
        </w:pBdr>
        <w:spacing w:before="300"/>
        <w:outlineLvl w:val="2"/>
        <w:rPr>
          <w:rFonts w:eastAsiaTheme="minorEastAsia"/>
        </w:rPr>
      </w:pPr>
      <w:proofErr w:type="gramStart"/>
      <w:r w:rsidRPr="00DF775C">
        <w:rPr>
          <w:rFonts w:eastAsiaTheme="minorEastAsia"/>
        </w:rPr>
        <w:t>Findings  In</w:t>
      </w:r>
      <w:proofErr w:type="gramEnd"/>
      <w:r w:rsidRPr="00DF775C">
        <w:rPr>
          <w:rFonts w:eastAsiaTheme="minorEastAsia"/>
        </w:rPr>
        <w:t xml:space="preserve"> this longitudinal cohort study that included 1864 patients, the most common symptoms at 2 years after SARS-CoV-2 infection were fatigue, chest tightness, anxiety, </w:t>
      </w:r>
      <w:proofErr w:type="spellStart"/>
      <w:r w:rsidRPr="00DF775C">
        <w:rPr>
          <w:rFonts w:eastAsiaTheme="minorEastAsia"/>
        </w:rPr>
        <w:t>dyspnea</w:t>
      </w:r>
      <w:proofErr w:type="spellEnd"/>
      <w:r w:rsidRPr="00DF775C">
        <w:rPr>
          <w:rFonts w:eastAsiaTheme="minorEastAsia"/>
        </w:rPr>
        <w:t xml:space="preserve">, and myalgia, and most symptoms resolved from 1-year to 2-year follow-up, although the incidence of </w:t>
      </w:r>
      <w:proofErr w:type="spellStart"/>
      <w:r w:rsidRPr="00DF775C">
        <w:rPr>
          <w:rFonts w:eastAsiaTheme="minorEastAsia"/>
        </w:rPr>
        <w:t>dyspnea</w:t>
      </w:r>
      <w:proofErr w:type="spellEnd"/>
      <w:r w:rsidRPr="00DF775C">
        <w:rPr>
          <w:rFonts w:eastAsiaTheme="minorEastAsia"/>
        </w:rPr>
        <w:t xml:space="preserve"> showed no significant change. Patients with severe disease during hospitalization, especially those who required intensive care unit admission, had higher risks of persistent symptoms and higher chronic obstructive pulmonary </w:t>
      </w:r>
      <w:proofErr w:type="gramStart"/>
      <w:r w:rsidRPr="00DF775C">
        <w:rPr>
          <w:rFonts w:eastAsiaTheme="minorEastAsia"/>
        </w:rPr>
        <w:t>disease assessment test scores</w:t>
      </w:r>
      <w:proofErr w:type="gramEnd"/>
      <w:r w:rsidRPr="00DF775C">
        <w:rPr>
          <w:rFonts w:eastAsiaTheme="minorEastAsia"/>
        </w:rPr>
        <w:t>.</w:t>
      </w:r>
    </w:p>
    <w:p w:rsidR="00B44B4A" w:rsidRDefault="00DF775C" w:rsidP="00DF775C">
      <w:pPr>
        <w:pBdr>
          <w:top w:val="single" w:sz="6" w:space="2" w:color="D4802C"/>
          <w:left w:val="single" w:sz="6" w:space="2" w:color="D4802C"/>
        </w:pBdr>
        <w:spacing w:before="300"/>
        <w:outlineLvl w:val="2"/>
        <w:rPr>
          <w:rFonts w:eastAsiaTheme="minorEastAsia"/>
        </w:rPr>
      </w:pPr>
      <w:proofErr w:type="gramStart"/>
      <w:r w:rsidRPr="00DF775C">
        <w:rPr>
          <w:rFonts w:eastAsiaTheme="minorEastAsia"/>
        </w:rPr>
        <w:t>Meaning  These</w:t>
      </w:r>
      <w:proofErr w:type="gramEnd"/>
      <w:r w:rsidRPr="00DF775C">
        <w:rPr>
          <w:rFonts w:eastAsiaTheme="minorEastAsia"/>
        </w:rPr>
        <w:t xml:space="preserve"> findings suggest that prolonged symptoms may persist in a proportion of COVID-19 survivors for 2 years after SARS-CoV-2 infection.</w:t>
      </w:r>
      <w:r>
        <w:rPr>
          <w:rFonts w:eastAsiaTheme="minorEastAsia"/>
        </w:rPr>
        <w:br/>
      </w:r>
      <w:hyperlink r:id="rId14" w:history="1">
        <w:r w:rsidRPr="00184730">
          <w:rPr>
            <w:rStyle w:val="Hyperlink"/>
            <w:rFonts w:eastAsiaTheme="minorEastAsia"/>
          </w:rPr>
          <w:t>https://jamanetwork.com/journals/jamanetworkopen/fullarticle/2796276</w:t>
        </w:r>
      </w:hyperlink>
      <w:r>
        <w:rPr>
          <w:rFonts w:eastAsiaTheme="minorEastAsia"/>
        </w:rPr>
        <w:t xml:space="preserve"> </w:t>
      </w:r>
    </w:p>
    <w:p w:rsidR="00B44B4A" w:rsidRDefault="00B44B4A" w:rsidP="00B44B4A">
      <w:pPr>
        <w:spacing w:before="200"/>
        <w:rPr>
          <w:rFonts w:eastAsiaTheme="minorEastAsia"/>
        </w:rPr>
      </w:pPr>
    </w:p>
    <w:p w:rsidR="0024067F" w:rsidRPr="00627D72" w:rsidRDefault="003673FD" w:rsidP="0024067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3" w:name="Rates"/>
      <w:bookmarkEnd w:id="3"/>
      <w:r>
        <w:rPr>
          <w:rFonts w:ascii="Dotum" w:eastAsiaTheme="minorEastAsia" w:hAnsi="Dotum"/>
          <w:b/>
          <w:bCs/>
          <w:caps/>
          <w:color w:val="FFFFFF" w:themeColor="background1"/>
          <w:spacing w:val="15"/>
        </w:rPr>
        <w:t>rates &amp; variants</w:t>
      </w:r>
    </w:p>
    <w:p w:rsidR="00105DF5" w:rsidRDefault="00105DF5" w:rsidP="00105DF5">
      <w:pPr>
        <w:pBdr>
          <w:top w:val="single" w:sz="6" w:space="2" w:color="D4802C"/>
          <w:left w:val="single" w:sz="6" w:space="2" w:color="D4802C"/>
        </w:pBdr>
        <w:spacing w:before="300"/>
        <w:outlineLvl w:val="2"/>
        <w:rPr>
          <w:rFonts w:eastAsiaTheme="minorEastAsia"/>
          <w:caps/>
          <w:spacing w:val="15"/>
        </w:rPr>
      </w:pPr>
      <w:bookmarkStart w:id="4" w:name="Infection"/>
      <w:bookmarkEnd w:id="4"/>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DF775C" w:rsidRPr="00DF775C">
        <w:rPr>
          <w:rFonts w:eastAsiaTheme="minorEastAsia"/>
          <w:caps/>
          <w:spacing w:val="15"/>
        </w:rPr>
        <w:t>Is covid-19 settling into a pattern?</w:t>
      </w:r>
    </w:p>
    <w:p w:rsidR="00DF775C" w:rsidRDefault="00DF775C" w:rsidP="00DF775C">
      <w:pPr>
        <w:pBdr>
          <w:top w:val="single" w:sz="6" w:space="2" w:color="D4802C"/>
          <w:left w:val="single" w:sz="6" w:space="2" w:color="D4802C"/>
        </w:pBdr>
        <w:spacing w:before="300"/>
        <w:outlineLvl w:val="2"/>
      </w:pPr>
      <w:r>
        <w:rPr>
          <w:rFonts w:eastAsiaTheme="minorEastAsia"/>
          <w:caps/>
          <w:spacing w:val="15"/>
        </w:rPr>
        <w:t>BMJ | 15</w:t>
      </w:r>
      <w:r w:rsidR="00346BA9" w:rsidRPr="00346BA9">
        <w:rPr>
          <w:rFonts w:eastAsiaTheme="minorEastAsia"/>
          <w:caps/>
          <w:spacing w:val="15"/>
          <w:vertAlign w:val="superscript"/>
        </w:rPr>
        <w:t>th</w:t>
      </w:r>
      <w:r w:rsidR="00346BA9">
        <w:rPr>
          <w:rFonts w:eastAsiaTheme="minorEastAsia"/>
          <w:caps/>
          <w:spacing w:val="15"/>
        </w:rPr>
        <w:t xml:space="preserve"> september</w:t>
      </w:r>
      <w:r w:rsidR="00105DF5">
        <w:rPr>
          <w:rFonts w:eastAsiaTheme="minorEastAsia"/>
          <w:caps/>
          <w:spacing w:val="15"/>
        </w:rPr>
        <w:t xml:space="preserve"> 2022</w:t>
      </w:r>
      <w:r w:rsidR="00105DF5">
        <w:rPr>
          <w:rFonts w:eastAsiaTheme="minorEastAsia"/>
          <w:caps/>
          <w:spacing w:val="15"/>
        </w:rPr>
        <w:br/>
      </w:r>
      <w:r w:rsidR="00626B19">
        <w:br/>
      </w:r>
      <w:r>
        <w:t xml:space="preserve">SARS-CoV-2 is here to stay, with an increasing array of questions for science and medicine. In the first of a new series on </w:t>
      </w:r>
      <w:proofErr w:type="spellStart"/>
      <w:r>
        <w:t>Covid</w:t>
      </w:r>
      <w:proofErr w:type="spellEnd"/>
      <w:r>
        <w:t xml:space="preserve"> Unanswered Questions, The BMJ asks about our current understanding of </w:t>
      </w:r>
      <w:proofErr w:type="gramStart"/>
      <w:r>
        <w:t>waves and variants—and what they might mean for “living with the virus”</w:t>
      </w:r>
      <w:proofErr w:type="gramEnd"/>
    </w:p>
    <w:p w:rsidR="00DF775C" w:rsidRDefault="00DF775C" w:rsidP="00DF775C">
      <w:pPr>
        <w:pBdr>
          <w:top w:val="single" w:sz="6" w:space="2" w:color="D4802C"/>
          <w:left w:val="single" w:sz="6" w:space="2" w:color="D4802C"/>
        </w:pBdr>
        <w:spacing w:before="300"/>
        <w:outlineLvl w:val="2"/>
      </w:pPr>
      <w:r>
        <w:t xml:space="preserve">Is </w:t>
      </w:r>
      <w:proofErr w:type="spellStart"/>
      <w:r>
        <w:t>covid</w:t>
      </w:r>
      <w:proofErr w:type="spellEnd"/>
      <w:r>
        <w:t xml:space="preserve"> settling into a pattern?</w:t>
      </w:r>
    </w:p>
    <w:p w:rsidR="0040452A" w:rsidRDefault="00DF775C" w:rsidP="00DF775C">
      <w:pPr>
        <w:pBdr>
          <w:top w:val="single" w:sz="6" w:space="2" w:color="D4802C"/>
          <w:left w:val="single" w:sz="6" w:space="2" w:color="D4802C"/>
        </w:pBdr>
        <w:spacing w:before="300"/>
        <w:outlineLvl w:val="2"/>
      </w:pPr>
      <w:r>
        <w:t xml:space="preserve">“It appears that there are two to three waves a year, each caused by new variants,” says Atsushi </w:t>
      </w:r>
      <w:proofErr w:type="spellStart"/>
      <w:r>
        <w:t>Sakuraba</w:t>
      </w:r>
      <w:proofErr w:type="spellEnd"/>
      <w:r>
        <w:t xml:space="preserve">, professor of medicine at the University </w:t>
      </w:r>
      <w:proofErr w:type="gramStart"/>
      <w:r>
        <w:t>of</w:t>
      </w:r>
      <w:proofErr w:type="gramEnd"/>
      <w:r>
        <w:t xml:space="preserve"> Chicago, USA. “Considering the nature of SARS-CoV-2, which is an RNA virus that mutates over time, this pattern is likely to stay.”</w:t>
      </w:r>
      <w:r w:rsidR="00346BA9">
        <w:br/>
      </w:r>
      <w:hyperlink r:id="rId15" w:history="1">
        <w:r w:rsidRPr="00184730">
          <w:rPr>
            <w:rStyle w:val="Hyperlink"/>
          </w:rPr>
          <w:t>https://www.bmj.com/content/378/bmj.o2183</w:t>
        </w:r>
      </w:hyperlink>
      <w:r>
        <w:t xml:space="preserve"> </w:t>
      </w:r>
    </w:p>
    <w:p w:rsidR="00105DF5" w:rsidRDefault="00105DF5" w:rsidP="00105DF5">
      <w:pPr>
        <w:spacing w:before="200"/>
        <w:rPr>
          <w:rFonts w:eastAsiaTheme="minorEastAsia"/>
        </w:rPr>
      </w:pPr>
    </w:p>
    <w:p w:rsidR="0005026A" w:rsidRDefault="0005026A" w:rsidP="0005026A">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DF775C" w:rsidRPr="00DF775C">
        <w:rPr>
          <w:rFonts w:eastAsiaTheme="minorEastAsia"/>
          <w:caps/>
          <w:spacing w:val="15"/>
        </w:rPr>
        <w:t>SARS-CoV-2 Omicron BA.5: Evolving tropism and evasion of potent humoral responses and resistance to clinical immunotherapeutics relative to viral variants of concern</w:t>
      </w:r>
    </w:p>
    <w:p w:rsidR="0005026A" w:rsidRDefault="00DF775C" w:rsidP="0005026A">
      <w:pPr>
        <w:pBdr>
          <w:top w:val="single" w:sz="6" w:space="2" w:color="D4802C"/>
          <w:left w:val="single" w:sz="6" w:space="2" w:color="D4802C"/>
        </w:pBdr>
        <w:spacing w:before="300"/>
        <w:outlineLvl w:val="2"/>
      </w:pPr>
      <w:r>
        <w:rPr>
          <w:rFonts w:eastAsiaTheme="minorEastAsia"/>
          <w:caps/>
          <w:spacing w:val="15"/>
        </w:rPr>
        <w:t>the lancet eBio Medicine |17</w:t>
      </w:r>
      <w:r w:rsidR="00346BA9" w:rsidRPr="00346BA9">
        <w:rPr>
          <w:rFonts w:eastAsiaTheme="minorEastAsia"/>
          <w:caps/>
          <w:spacing w:val="15"/>
          <w:vertAlign w:val="superscript"/>
        </w:rPr>
        <w:t>th</w:t>
      </w:r>
      <w:r w:rsidR="00346BA9">
        <w:rPr>
          <w:rFonts w:eastAsiaTheme="minorEastAsia"/>
          <w:caps/>
          <w:spacing w:val="15"/>
        </w:rPr>
        <w:t xml:space="preserve"> september</w:t>
      </w:r>
      <w:r w:rsidR="0005026A">
        <w:rPr>
          <w:rFonts w:eastAsiaTheme="minorEastAsia"/>
          <w:caps/>
          <w:spacing w:val="15"/>
        </w:rPr>
        <w:t xml:space="preserve"> 2022</w:t>
      </w:r>
      <w:r w:rsidR="0005026A">
        <w:rPr>
          <w:rFonts w:eastAsiaTheme="minorEastAsia"/>
          <w:caps/>
          <w:spacing w:val="15"/>
        </w:rPr>
        <w:br/>
      </w:r>
      <w:r w:rsidR="0005026A">
        <w:br/>
      </w:r>
      <w:r w:rsidR="00346BA9">
        <w:t>…</w:t>
      </w:r>
      <w:r w:rsidR="00346BA9" w:rsidRPr="00346BA9">
        <w:t xml:space="preserve">Variants of SARS-CoV-2 with reduced sensitivity to neutralising antibodies can pose a challenge to </w:t>
      </w:r>
      <w:r>
        <w:br/>
      </w:r>
      <w:r w:rsidRPr="00DF775C">
        <w:t xml:space="preserve">Observations support all Omicron variants to significantly escape neutralising antibodies across a range of vaccination and/or convalescent responses. Potency of therapeutic monoclonal antibodies </w:t>
      </w:r>
      <w:proofErr w:type="gramStart"/>
      <w:r w:rsidRPr="00DF775C">
        <w:t>is also reduced</w:t>
      </w:r>
      <w:proofErr w:type="gramEnd"/>
      <w:r w:rsidRPr="00DF775C">
        <w:t xml:space="preserve"> and differs across Omicron lineages. The key difference of BA.5 from other Omicron sub-variants is the reversion in tropism back to using the well-known ACE2-TMPRSS2 pathway, utilised efficiently by pre-Omicron lineages. Monitoring if these changes influence transmission and/or disease severity will be key for ongoing tracking and management of Omicron waves globally.</w:t>
      </w:r>
      <w:r>
        <w:t xml:space="preserve"> </w:t>
      </w:r>
      <w:r w:rsidR="00346BA9">
        <w:br/>
      </w:r>
      <w:hyperlink r:id="rId16" w:history="1">
        <w:r w:rsidRPr="00184730">
          <w:rPr>
            <w:rStyle w:val="Hyperlink"/>
          </w:rPr>
          <w:t>https://www.thelancet.com/journals/ebiom/article/PIIS2352-3964(22)00452-2/fulltext</w:t>
        </w:r>
      </w:hyperlink>
      <w:r>
        <w:t xml:space="preserve"> </w:t>
      </w:r>
    </w:p>
    <w:p w:rsidR="00DF775C" w:rsidRDefault="00DF775C" w:rsidP="00DF775C">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DF775C">
        <w:rPr>
          <w:rFonts w:eastAsiaTheme="minorEastAsia"/>
          <w:caps/>
          <w:spacing w:val="15"/>
        </w:rPr>
        <w:t>Lung cell entry, cell–cell fusion capacity, and neutralisation sensitivity of omicron sublineage BA.2.75</w:t>
      </w:r>
      <w:r>
        <w:rPr>
          <w:rFonts w:eastAsiaTheme="minorEastAsia"/>
          <w:caps/>
          <w:spacing w:val="15"/>
        </w:rPr>
        <w:t xml:space="preserve"> </w:t>
      </w:r>
    </w:p>
    <w:p w:rsidR="00DF775C" w:rsidRDefault="00DF775C" w:rsidP="00DF775C">
      <w:pPr>
        <w:pBdr>
          <w:top w:val="single" w:sz="6" w:space="2" w:color="D4802C"/>
          <w:left w:val="single" w:sz="6" w:space="2" w:color="D4802C"/>
        </w:pBdr>
        <w:spacing w:before="300"/>
        <w:outlineLvl w:val="2"/>
      </w:pPr>
      <w:proofErr w:type="gramStart"/>
      <w:r>
        <w:rPr>
          <w:rFonts w:eastAsiaTheme="minorEastAsia"/>
          <w:caps/>
          <w:spacing w:val="15"/>
        </w:rPr>
        <w:t>the lancet infectious diseases | 15</w:t>
      </w:r>
      <w:r w:rsidRPr="009715EA">
        <w:rPr>
          <w:rFonts w:eastAsiaTheme="minorEastAsia"/>
          <w:caps/>
          <w:spacing w:val="15"/>
          <w:vertAlign w:val="superscript"/>
        </w:rPr>
        <w:t>th</w:t>
      </w:r>
      <w:r>
        <w:rPr>
          <w:rFonts w:eastAsiaTheme="minorEastAsia"/>
          <w:caps/>
          <w:spacing w:val="15"/>
        </w:rPr>
        <w:t xml:space="preserve"> September 2022</w:t>
      </w:r>
      <w:r>
        <w:rPr>
          <w:rFonts w:eastAsiaTheme="minorEastAsia"/>
          <w:caps/>
          <w:spacing w:val="15"/>
        </w:rPr>
        <w:br/>
      </w:r>
      <w:r>
        <w:br/>
        <w:t>…</w:t>
      </w:r>
      <w:r w:rsidRPr="00DF775C">
        <w:t xml:space="preserve">Although our results await confirmation with authentic virus and primary cells, BA.2.75 might be more adept than BA.2 at infecting the lower airways and inducing cell–cell fusion, which could indicate an elevated intrinsic pathogenic </w:t>
      </w:r>
      <w:proofErr w:type="spellStart"/>
      <w:r w:rsidRPr="00DF775C">
        <w:t>potential.Moreover</w:t>
      </w:r>
      <w:proofErr w:type="spellEnd"/>
      <w:r w:rsidRPr="00DF775C">
        <w:t xml:space="preserve">, we identified </w:t>
      </w:r>
      <w:proofErr w:type="spellStart"/>
      <w:r w:rsidRPr="00DF775C">
        <w:t>bebtelovimab</w:t>
      </w:r>
      <w:proofErr w:type="spellEnd"/>
      <w:r w:rsidRPr="00DF775C">
        <w:t xml:space="preserve"> (also known as LYCoV-1404) and the </w:t>
      </w:r>
      <w:proofErr w:type="spellStart"/>
      <w:r w:rsidRPr="00DF775C">
        <w:t>cilgavimab</w:t>
      </w:r>
      <w:proofErr w:type="spellEnd"/>
      <w:r w:rsidRPr="00DF775C">
        <w:t>–</w:t>
      </w:r>
      <w:proofErr w:type="spellStart"/>
      <w:r w:rsidRPr="00DF775C">
        <w:t>tixagevimab</w:t>
      </w:r>
      <w:proofErr w:type="spellEnd"/>
      <w:r w:rsidRPr="00DF775C">
        <w:t xml:space="preserve"> antibody combination as treatments for BA.2.75-infected individuals.</w:t>
      </w:r>
      <w:proofErr w:type="gramEnd"/>
      <w:r w:rsidRPr="00DF775C">
        <w:t xml:space="preserve"> The observation that BA.2.75 and BA.4/BA.5 display lower neutralisation sensitivity compared with BA.2 suggests that this trait might enable them to outcompete BA.2 in subpopulations with vaccination or infection-induced immunity. Finally, our data confirm and extend the findings of two recent studies6</w:t>
      </w:r>
      <w:proofErr w:type="gramStart"/>
      <w:r w:rsidRPr="00DF775C">
        <w:t>,  7</w:t>
      </w:r>
      <w:proofErr w:type="gramEnd"/>
      <w:r w:rsidRPr="00DF775C">
        <w:t xml:space="preserve"> and provide evidence that three vaccine doses are required to induce potent neutralising activity against BA.2.75, similar to what has been shown for othe</w:t>
      </w:r>
      <w:r>
        <w:t xml:space="preserve">r omicron </w:t>
      </w:r>
      <w:proofErr w:type="spellStart"/>
      <w:r>
        <w:t>sublineages</w:t>
      </w:r>
      <w:proofErr w:type="spellEnd"/>
      <w:r>
        <w:t>.</w:t>
      </w:r>
      <w:r>
        <w:br/>
      </w:r>
      <w:hyperlink r:id="rId17" w:history="1">
        <w:r w:rsidRPr="00184730">
          <w:rPr>
            <w:rStyle w:val="Hyperlink"/>
          </w:rPr>
          <w:t>https://www.thelancet.com/journals/laninf/article/PIIS1473-3099(22)00591-6/fulltext</w:t>
        </w:r>
      </w:hyperlink>
      <w:r>
        <w:t xml:space="preserve"> </w:t>
      </w:r>
    </w:p>
    <w:p w:rsidR="00DF775C" w:rsidRDefault="00DF775C" w:rsidP="00105DF5">
      <w:pPr>
        <w:spacing w:before="200"/>
        <w:rPr>
          <w:rFonts w:eastAsiaTheme="minorEastAsia"/>
        </w:rPr>
      </w:pPr>
    </w:p>
    <w:p w:rsidR="008047CF" w:rsidRPr="00627D72" w:rsidRDefault="008047CF" w:rsidP="008047C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5" w:name="Infection1"/>
      <w:bookmarkEnd w:id="5"/>
      <w:r>
        <w:rPr>
          <w:rFonts w:ascii="Dotum" w:eastAsiaTheme="minorEastAsia" w:hAnsi="Dotum"/>
          <w:b/>
          <w:bCs/>
          <w:caps/>
          <w:color w:val="FFFFFF" w:themeColor="background1"/>
          <w:spacing w:val="15"/>
        </w:rPr>
        <w:t>infection control</w:t>
      </w:r>
    </w:p>
    <w:p w:rsidR="00084862" w:rsidRDefault="00084862" w:rsidP="00E92671">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F74DC4" w:rsidRPr="00F74DC4">
        <w:rPr>
          <w:rFonts w:eastAsiaTheme="minorEastAsia"/>
          <w:caps/>
          <w:spacing w:val="15"/>
        </w:rPr>
        <w:t>Self-testing for covid-19</w:t>
      </w:r>
    </w:p>
    <w:p w:rsidR="00F74DC4" w:rsidRDefault="009B28C6" w:rsidP="00F74DC4">
      <w:pPr>
        <w:pBdr>
          <w:top w:val="single" w:sz="6" w:space="2" w:color="D4802C"/>
          <w:left w:val="single" w:sz="6" w:space="2" w:color="D4802C"/>
        </w:pBdr>
        <w:spacing w:before="300"/>
        <w:outlineLvl w:val="2"/>
      </w:pPr>
      <w:r>
        <w:rPr>
          <w:rFonts w:eastAsiaTheme="minorEastAsia"/>
          <w:caps/>
          <w:spacing w:val="15"/>
        </w:rPr>
        <w:t>BMJ</w:t>
      </w:r>
      <w:r w:rsidR="00F74DC4">
        <w:rPr>
          <w:rFonts w:eastAsiaTheme="minorEastAsia"/>
          <w:caps/>
          <w:spacing w:val="15"/>
        </w:rPr>
        <w:t xml:space="preserve"> | 14</w:t>
      </w:r>
      <w:r w:rsidR="009715EA" w:rsidRPr="009715EA">
        <w:rPr>
          <w:rFonts w:eastAsiaTheme="minorEastAsia"/>
          <w:caps/>
          <w:spacing w:val="15"/>
          <w:vertAlign w:val="superscript"/>
        </w:rPr>
        <w:t>th</w:t>
      </w:r>
      <w:r w:rsidR="009715EA">
        <w:rPr>
          <w:rFonts w:eastAsiaTheme="minorEastAsia"/>
          <w:caps/>
          <w:spacing w:val="15"/>
        </w:rPr>
        <w:t xml:space="preserve"> September</w:t>
      </w:r>
      <w:r w:rsidR="00084862">
        <w:rPr>
          <w:rFonts w:eastAsiaTheme="minorEastAsia"/>
          <w:caps/>
          <w:spacing w:val="15"/>
        </w:rPr>
        <w:t xml:space="preserve"> 2022</w:t>
      </w:r>
      <w:r w:rsidR="00084862">
        <w:rPr>
          <w:rFonts w:eastAsiaTheme="minorEastAsia"/>
          <w:caps/>
          <w:spacing w:val="15"/>
        </w:rPr>
        <w:br/>
      </w:r>
      <w:r w:rsidR="00084862">
        <w:br/>
      </w:r>
      <w:r w:rsidR="00F74DC4">
        <w:t xml:space="preserve">…What should we take from this study? Firstly, that members of the </w:t>
      </w:r>
      <w:proofErr w:type="gramStart"/>
      <w:r w:rsidR="00F74DC4">
        <w:t>general public</w:t>
      </w:r>
      <w:proofErr w:type="gramEnd"/>
      <w:r w:rsidR="00F74DC4">
        <w:t xml:space="preserve"> are capable of doing their own nasal (and potentially oropharyngeal) sampling for covid-19 testing, but the real world performance of antigen tests remains highly variable. Secondly, adding oropharyngeal testing may provide some benefit, although it is unclear how many test kits are capable of expanded use, and serial testing could be a more workable change to testing protocols. Finally, and most importantly, are the policy implications. In the UK and the US, policies governing use of tests to enable a return to normal activities are confusing, poorly explained, and frequently change. In the US, a single negative test result currently allows an individual to return to work or school in many situations. In the UK, government guidance suggests that a negative result “means it’s likely you are not infectious.”</w:t>
      </w:r>
    </w:p>
    <w:p w:rsidR="00F74DC4" w:rsidRDefault="00F74DC4" w:rsidP="00F74DC4">
      <w:pPr>
        <w:pBdr>
          <w:top w:val="single" w:sz="6" w:space="2" w:color="D4802C"/>
          <w:left w:val="single" w:sz="6" w:space="2" w:color="D4802C"/>
        </w:pBdr>
        <w:spacing w:before="300"/>
        <w:outlineLvl w:val="2"/>
      </w:pPr>
      <w:r>
        <w:t xml:space="preserve">Such simple guidance is inconsistent with </w:t>
      </w:r>
      <w:proofErr w:type="spellStart"/>
      <w:r>
        <w:t>Schuit</w:t>
      </w:r>
      <w:proofErr w:type="spellEnd"/>
      <w:r>
        <w:t xml:space="preserve"> and colleagues’ findings—a single negative test result </w:t>
      </w:r>
      <w:proofErr w:type="gramStart"/>
      <w:r>
        <w:t>cannot be interpreted</w:t>
      </w:r>
      <w:proofErr w:type="gramEnd"/>
      <w:r>
        <w:t xml:space="preserve"> in a vacuum. Individuals must also consider their reason for being tested; have they been exposed to an infected person or been in a high risk situation such as a crowded indoor space during a period of high transmission</w:t>
      </w:r>
      <w:proofErr w:type="gramStart"/>
      <w:r>
        <w:t>?,</w:t>
      </w:r>
      <w:proofErr w:type="gramEnd"/>
      <w:r>
        <w:t xml:space="preserve"> has enough time passed to accrue a high viral load?, and, of course, do they have symptoms consistent with covid-19? All are important considerations that will help optimise the value of these tests in limiting spread and containing new variants as we learn to live with covid-19.</w:t>
      </w:r>
      <w:r w:rsidR="009715EA">
        <w:br/>
      </w:r>
      <w:hyperlink r:id="rId18" w:history="1">
        <w:r w:rsidRPr="00184730">
          <w:rPr>
            <w:rStyle w:val="Hyperlink"/>
          </w:rPr>
          <w:t>https://www.bmj.com/content/378/bmj.o2055</w:t>
        </w:r>
      </w:hyperlink>
      <w:r>
        <w:t xml:space="preserve"> </w:t>
      </w:r>
      <w:r>
        <w:br/>
        <w:t xml:space="preserve">Linked research: </w:t>
      </w:r>
      <w:hyperlink r:id="rId19" w:history="1">
        <w:r w:rsidRPr="00F74DC4">
          <w:rPr>
            <w:rStyle w:val="Hyperlink"/>
          </w:rPr>
          <w:t>Diagnostic accuracy of covid-19 rapid antigen tests with unsupervised self-sampling in people with symptoms in the omicron period: cross sectional study</w:t>
        </w:r>
      </w:hyperlink>
    </w:p>
    <w:p w:rsidR="00084862" w:rsidRDefault="00084862" w:rsidP="0024067F">
      <w:pPr>
        <w:spacing w:before="200"/>
        <w:rPr>
          <w:rFonts w:eastAsiaTheme="minorEastAsia"/>
        </w:rPr>
      </w:pPr>
    </w:p>
    <w:p w:rsidR="003A5C8D" w:rsidRDefault="003A5C8D" w:rsidP="003A5C8D">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title</w:t>
      </w:r>
      <w:r w:rsidRPr="008B4670">
        <w:rPr>
          <w:rFonts w:eastAsiaTheme="minorEastAsia"/>
          <w:b/>
          <w:caps/>
          <w:spacing w:val="15"/>
        </w:rPr>
        <w:t>:</w:t>
      </w:r>
      <w:r w:rsidRPr="008B4670">
        <w:rPr>
          <w:rFonts w:eastAsiaTheme="minorEastAsia"/>
          <w:caps/>
          <w:spacing w:val="15"/>
        </w:rPr>
        <w:t xml:space="preserve"> </w:t>
      </w:r>
      <w:r w:rsidR="00617CB2" w:rsidRPr="00617CB2">
        <w:rPr>
          <w:rFonts w:eastAsiaTheme="minorEastAsia"/>
          <w:caps/>
          <w:spacing w:val="15"/>
        </w:rPr>
        <w:t>CDC Streamlines COVID-19 Guidance</w:t>
      </w:r>
    </w:p>
    <w:p w:rsidR="00C44296" w:rsidRDefault="00617CB2" w:rsidP="00C44296">
      <w:pPr>
        <w:pBdr>
          <w:top w:val="single" w:sz="6" w:space="2" w:color="D4802C"/>
          <w:left w:val="single" w:sz="6" w:space="2" w:color="D4802C"/>
        </w:pBdr>
        <w:spacing w:before="300"/>
        <w:outlineLvl w:val="2"/>
      </w:pPr>
      <w:r>
        <w:rPr>
          <w:rFonts w:eastAsiaTheme="minorEastAsia"/>
          <w:caps/>
          <w:spacing w:val="15"/>
        </w:rPr>
        <w:t xml:space="preserve">JAMA </w:t>
      </w:r>
      <w:r w:rsidR="009715EA">
        <w:rPr>
          <w:rFonts w:eastAsiaTheme="minorEastAsia"/>
          <w:caps/>
          <w:spacing w:val="15"/>
        </w:rPr>
        <w:t xml:space="preserve">| </w:t>
      </w:r>
      <w:r>
        <w:rPr>
          <w:rFonts w:eastAsiaTheme="minorEastAsia"/>
          <w:caps/>
          <w:spacing w:val="15"/>
        </w:rPr>
        <w:t>13</w:t>
      </w:r>
      <w:r w:rsidR="00423D0C" w:rsidRPr="00423D0C">
        <w:rPr>
          <w:rFonts w:eastAsiaTheme="minorEastAsia"/>
          <w:caps/>
          <w:spacing w:val="15"/>
          <w:vertAlign w:val="superscript"/>
        </w:rPr>
        <w:t>th</w:t>
      </w:r>
      <w:r w:rsidR="00423D0C">
        <w:rPr>
          <w:rFonts w:eastAsiaTheme="minorEastAsia"/>
          <w:caps/>
          <w:spacing w:val="15"/>
        </w:rPr>
        <w:t xml:space="preserve"> september</w:t>
      </w:r>
      <w:r w:rsidR="003A5C8D">
        <w:rPr>
          <w:rFonts w:eastAsiaTheme="minorEastAsia"/>
          <w:caps/>
          <w:spacing w:val="15"/>
        </w:rPr>
        <w:t xml:space="preserve"> 2022</w:t>
      </w:r>
      <w:r w:rsidR="003A5C8D">
        <w:rPr>
          <w:rFonts w:eastAsiaTheme="minorEastAsia"/>
          <w:caps/>
          <w:spacing w:val="15"/>
        </w:rPr>
        <w:br/>
      </w:r>
      <w:r w:rsidR="009715EA">
        <w:br/>
      </w:r>
      <w:r>
        <w:t>U</w:t>
      </w:r>
      <w:r w:rsidRPr="00617CB2">
        <w:t>pdated CDC COVID-19 guidance streamlines isolation rules eliminating separate recommendations for unvaccinated individuals.</w:t>
      </w:r>
      <w:r>
        <w:br/>
      </w:r>
      <w:hyperlink r:id="rId20" w:history="1">
        <w:r w:rsidRPr="00184730">
          <w:rPr>
            <w:rStyle w:val="Hyperlink"/>
          </w:rPr>
          <w:t>https://jamanetwork.com/journals/jama/fullarticle/2796238</w:t>
        </w:r>
      </w:hyperlink>
      <w:r>
        <w:t xml:space="preserve"> </w:t>
      </w:r>
    </w:p>
    <w:p w:rsidR="003A5C8D" w:rsidRDefault="003A5C8D" w:rsidP="0024067F">
      <w:pPr>
        <w:spacing w:before="200"/>
        <w:rPr>
          <w:rFonts w:eastAsiaTheme="minorEastAsia"/>
        </w:rPr>
      </w:pPr>
    </w:p>
    <w:p w:rsidR="0011143A" w:rsidRDefault="0011143A" w:rsidP="0011143A">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617CB2" w:rsidRPr="00617CB2">
        <w:rPr>
          <w:rFonts w:eastAsiaTheme="minorEastAsia"/>
          <w:caps/>
          <w:spacing w:val="15"/>
        </w:rPr>
        <w:t>Evaluation of Risk Factors for Conversion From a COVID-19 Household Contact to a Case in New York City, August 1, 2020, to July 31, 2021</w:t>
      </w:r>
    </w:p>
    <w:p w:rsidR="00617CB2" w:rsidRPr="00617CB2" w:rsidRDefault="00617CB2" w:rsidP="00617CB2">
      <w:pPr>
        <w:pBdr>
          <w:top w:val="single" w:sz="6" w:space="2" w:color="D4802C"/>
          <w:left w:val="single" w:sz="6" w:space="2" w:color="D4802C"/>
        </w:pBdr>
        <w:spacing w:before="300"/>
        <w:outlineLvl w:val="2"/>
        <w:rPr>
          <w:rFonts w:eastAsiaTheme="minorEastAsia"/>
        </w:rPr>
      </w:pPr>
      <w:r>
        <w:rPr>
          <w:rFonts w:eastAsiaTheme="minorEastAsia"/>
          <w:caps/>
          <w:spacing w:val="15"/>
        </w:rPr>
        <w:t>JAMA | 14</w:t>
      </w:r>
      <w:r w:rsidR="006919BB" w:rsidRPr="006919BB">
        <w:rPr>
          <w:rFonts w:eastAsiaTheme="minorEastAsia"/>
          <w:caps/>
          <w:spacing w:val="15"/>
          <w:vertAlign w:val="superscript"/>
        </w:rPr>
        <w:t>th</w:t>
      </w:r>
      <w:r w:rsidR="006919BB">
        <w:rPr>
          <w:rFonts w:eastAsiaTheme="minorEastAsia"/>
          <w:caps/>
          <w:spacing w:val="15"/>
        </w:rPr>
        <w:t xml:space="preserve"> september</w:t>
      </w:r>
      <w:r w:rsidR="008047CF">
        <w:rPr>
          <w:rFonts w:eastAsiaTheme="minorEastAsia"/>
          <w:caps/>
          <w:spacing w:val="15"/>
        </w:rPr>
        <w:t xml:space="preserve"> </w:t>
      </w:r>
      <w:r w:rsidR="0011143A">
        <w:rPr>
          <w:rFonts w:eastAsiaTheme="minorEastAsia"/>
          <w:caps/>
          <w:spacing w:val="15"/>
        </w:rPr>
        <w:t>2022</w:t>
      </w:r>
      <w:r w:rsidR="0011143A">
        <w:rPr>
          <w:rFonts w:eastAsiaTheme="minorEastAsia"/>
          <w:caps/>
          <w:spacing w:val="15"/>
        </w:rPr>
        <w:br/>
      </w:r>
      <w:r w:rsidR="008047CF">
        <w:rPr>
          <w:rFonts w:eastAsiaTheme="minorEastAsia"/>
        </w:rPr>
        <w:br/>
      </w:r>
      <w:r>
        <w:rPr>
          <w:rFonts w:eastAsiaTheme="minorEastAsia"/>
        </w:rPr>
        <w:t>…</w:t>
      </w:r>
      <w:r w:rsidRPr="00617CB2">
        <w:rPr>
          <w:rFonts w:eastAsiaTheme="minorEastAsia"/>
        </w:rPr>
        <w:t>Our investigation included more than 600 000 household contacts in NYC, of which 24.1% converted to a case. Our contact-to-case conversion rate is higher when compared with similar studies, such as a pooled estimate of 21.1% reported in a systematic review of 29 studies of COVID-19 secondary attack rates among a total of 22 214 household contacts.1</w:t>
      </w:r>
    </w:p>
    <w:p w:rsidR="00617CB2" w:rsidRPr="00617CB2" w:rsidRDefault="00617CB2" w:rsidP="00617CB2">
      <w:pPr>
        <w:pBdr>
          <w:top w:val="single" w:sz="6" w:space="2" w:color="D4802C"/>
          <w:left w:val="single" w:sz="6" w:space="2" w:color="D4802C"/>
        </w:pBdr>
        <w:spacing w:before="300"/>
        <w:outlineLvl w:val="2"/>
        <w:rPr>
          <w:rFonts w:eastAsiaTheme="minorEastAsia"/>
        </w:rPr>
      </w:pPr>
      <w:r w:rsidRPr="00617CB2">
        <w:rPr>
          <w:rFonts w:eastAsiaTheme="minorEastAsia"/>
        </w:rPr>
        <w:t xml:space="preserve">We found that the percentage of persons in NYC in the household contact’s age group who </w:t>
      </w:r>
      <w:proofErr w:type="gramStart"/>
      <w:r w:rsidRPr="00617CB2">
        <w:rPr>
          <w:rFonts w:eastAsiaTheme="minorEastAsia"/>
        </w:rPr>
        <w:t>were vaccinated</w:t>
      </w:r>
      <w:proofErr w:type="gramEnd"/>
      <w:r w:rsidRPr="00617CB2">
        <w:rPr>
          <w:rFonts w:eastAsiaTheme="minorEastAsia"/>
        </w:rPr>
        <w:t xml:space="preserve"> for COVID-19 by the month of the household contact’s exposure had an inverse relationship with converting to a case. This finding suggests that COVID-19 vaccination was protective against converting from a household contact to a case. Public health agencies should continue to prioritize vaccination campaigns for the public.</w:t>
      </w:r>
    </w:p>
    <w:p w:rsidR="00617CB2" w:rsidRPr="00617CB2" w:rsidRDefault="00617CB2" w:rsidP="00617CB2">
      <w:pPr>
        <w:pBdr>
          <w:top w:val="single" w:sz="6" w:space="2" w:color="D4802C"/>
          <w:left w:val="single" w:sz="6" w:space="2" w:color="D4802C"/>
        </w:pBdr>
        <w:spacing w:before="300"/>
        <w:outlineLvl w:val="2"/>
        <w:rPr>
          <w:rFonts w:eastAsiaTheme="minorEastAsia"/>
        </w:rPr>
      </w:pPr>
      <w:r w:rsidRPr="00617CB2">
        <w:rPr>
          <w:rFonts w:eastAsiaTheme="minorEastAsia"/>
        </w:rPr>
        <w:t>Women, persons with comorbidities, and persons exposed to a symptomatic case were more likely to convert from a household contact to a case when compared with men. Our findings emphasize the importance of supportive services such as those provided by T2, such as free hotel rooms for isolation and quarantine, allowing for safe separation from household members.</w:t>
      </w:r>
    </w:p>
    <w:p w:rsidR="00617CB2" w:rsidRPr="00617CB2" w:rsidRDefault="00617CB2" w:rsidP="00617CB2">
      <w:pPr>
        <w:pBdr>
          <w:top w:val="single" w:sz="6" w:space="2" w:color="D4802C"/>
          <w:left w:val="single" w:sz="6" w:space="2" w:color="D4802C"/>
        </w:pBdr>
        <w:spacing w:before="300"/>
        <w:outlineLvl w:val="2"/>
        <w:rPr>
          <w:rFonts w:eastAsiaTheme="minorEastAsia"/>
        </w:rPr>
      </w:pPr>
      <w:r w:rsidRPr="00617CB2">
        <w:rPr>
          <w:rFonts w:eastAsiaTheme="minorEastAsia"/>
        </w:rPr>
        <w:t xml:space="preserve">Our investigation had several limitations. First, not all household contacts identified </w:t>
      </w:r>
      <w:proofErr w:type="gramStart"/>
      <w:r w:rsidRPr="00617CB2">
        <w:rPr>
          <w:rFonts w:eastAsiaTheme="minorEastAsia"/>
        </w:rPr>
        <w:t>were tested</w:t>
      </w:r>
      <w:proofErr w:type="gramEnd"/>
      <w:r w:rsidRPr="00617CB2">
        <w:rPr>
          <w:rFonts w:eastAsiaTheme="minorEastAsia"/>
        </w:rPr>
        <w:t xml:space="preserve"> for COVID-19. Second, data for household contacts who did not convert to a case were less complete than data for contacts who converted to a case. Missing data </w:t>
      </w:r>
      <w:proofErr w:type="gramStart"/>
      <w:r w:rsidRPr="00617CB2">
        <w:rPr>
          <w:rFonts w:eastAsiaTheme="minorEastAsia"/>
        </w:rPr>
        <w:t>could potentially be related</w:t>
      </w:r>
      <w:proofErr w:type="gramEnd"/>
      <w:r w:rsidRPr="00617CB2">
        <w:rPr>
          <w:rFonts w:eastAsiaTheme="minorEastAsia"/>
        </w:rPr>
        <w:t xml:space="preserve"> to lower testing probability and subsequent case ascertainment in exposed persons. Third, medical history data including comorbidities were self-reported.</w:t>
      </w:r>
    </w:p>
    <w:p w:rsidR="0011143A" w:rsidRPr="004B283A" w:rsidRDefault="00617CB2" w:rsidP="00617CB2">
      <w:pPr>
        <w:pBdr>
          <w:top w:val="single" w:sz="6" w:space="2" w:color="D4802C"/>
          <w:left w:val="single" w:sz="6" w:space="2" w:color="D4802C"/>
        </w:pBdr>
        <w:spacing w:before="300"/>
        <w:outlineLvl w:val="2"/>
        <w:rPr>
          <w:rFonts w:eastAsiaTheme="minorEastAsia"/>
        </w:rPr>
      </w:pPr>
      <w:r w:rsidRPr="00617CB2">
        <w:rPr>
          <w:rFonts w:eastAsiaTheme="minorEastAsia"/>
        </w:rPr>
        <w:t>Our investigation suggests that among household contacts in NYC, certain groups were more likely to convert to a case. Better characterizing transmission dynamics among these groups could lead to improved preventative measures and save lives.</w:t>
      </w:r>
      <w:r>
        <w:rPr>
          <w:rFonts w:eastAsiaTheme="minorEastAsia"/>
        </w:rPr>
        <w:br/>
      </w:r>
      <w:hyperlink r:id="rId21" w:history="1">
        <w:r w:rsidRPr="00184730">
          <w:rPr>
            <w:rStyle w:val="Hyperlink"/>
            <w:rFonts w:eastAsiaTheme="minorEastAsia"/>
          </w:rPr>
          <w:t>https://jamanetwork.com/journals/jamanetworkopen/fullarticle/2796183</w:t>
        </w:r>
      </w:hyperlink>
      <w:r>
        <w:rPr>
          <w:rFonts w:eastAsiaTheme="minorEastAsia"/>
        </w:rPr>
        <w:t xml:space="preserve"> </w:t>
      </w:r>
      <w:r w:rsidR="006919BB">
        <w:rPr>
          <w:rFonts w:eastAsiaTheme="minorEastAsia"/>
        </w:rPr>
        <w:br/>
      </w:r>
    </w:p>
    <w:p w:rsidR="0011143A" w:rsidRDefault="0011143A" w:rsidP="0011143A">
      <w:pPr>
        <w:spacing w:before="200"/>
        <w:rPr>
          <w:rFonts w:eastAsiaTheme="minorEastAsia"/>
        </w:rPr>
      </w:pPr>
    </w:p>
    <w:p w:rsidR="00672A30" w:rsidRDefault="00672A30" w:rsidP="00672A30">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617CB2" w:rsidRPr="00617CB2">
        <w:rPr>
          <w:rFonts w:eastAsiaTheme="minorEastAsia"/>
          <w:caps/>
          <w:spacing w:val="15"/>
        </w:rPr>
        <w:t>New Data on Heterologous COVID-19 Vaccine Combinations</w:t>
      </w:r>
    </w:p>
    <w:p w:rsidR="00C44296" w:rsidRDefault="00617CB2" w:rsidP="00C44296">
      <w:pPr>
        <w:pBdr>
          <w:top w:val="single" w:sz="6" w:space="2" w:color="D4802C"/>
          <w:left w:val="single" w:sz="6" w:space="2" w:color="D4802C"/>
        </w:pBdr>
        <w:spacing w:before="300"/>
        <w:outlineLvl w:val="2"/>
      </w:pPr>
      <w:r>
        <w:rPr>
          <w:rFonts w:eastAsiaTheme="minorEastAsia"/>
          <w:caps/>
          <w:spacing w:val="15"/>
        </w:rPr>
        <w:t>jama |13</w:t>
      </w:r>
      <w:r w:rsidR="00672A30" w:rsidRPr="00672A30">
        <w:rPr>
          <w:rFonts w:eastAsiaTheme="minorEastAsia"/>
          <w:caps/>
          <w:spacing w:val="15"/>
          <w:vertAlign w:val="superscript"/>
        </w:rPr>
        <w:t>th</w:t>
      </w:r>
      <w:r w:rsidR="00672A30">
        <w:rPr>
          <w:rFonts w:eastAsiaTheme="minorEastAsia"/>
          <w:caps/>
          <w:spacing w:val="15"/>
        </w:rPr>
        <w:t xml:space="preserve"> september 2022</w:t>
      </w:r>
      <w:r w:rsidR="00672A30">
        <w:rPr>
          <w:rFonts w:eastAsiaTheme="minorEastAsia"/>
          <w:caps/>
          <w:spacing w:val="15"/>
        </w:rPr>
        <w:br/>
      </w:r>
      <w:r w:rsidR="00672A30">
        <w:br/>
      </w:r>
      <w:proofErr w:type="gramStart"/>
      <w:r>
        <w:t>S</w:t>
      </w:r>
      <w:r w:rsidRPr="00617CB2">
        <w:t>witching</w:t>
      </w:r>
      <w:proofErr w:type="gramEnd"/>
      <w:r w:rsidRPr="00617CB2">
        <w:t xml:space="preserve"> to a different COVID-19 vaccine after a first dose of the Sputnik V C1, ChAdOx1-S, or BBIBP-</w:t>
      </w:r>
      <w:proofErr w:type="spellStart"/>
      <w:r w:rsidRPr="00617CB2">
        <w:t>CorV</w:t>
      </w:r>
      <w:proofErr w:type="spellEnd"/>
      <w:r w:rsidRPr="00617CB2">
        <w:t xml:space="preserve"> vaccines can greatly increase immune response while maintaining safety, according to a study published in Cell Reports Medicine. The results provide information for mixing vaccine types in both primary vaccination and vaccine booster schedules, which is particularly important for middle- and lower-income countries to strengthen vaccine programs, the authors wrote.</w:t>
      </w:r>
      <w:r>
        <w:t xml:space="preserve"> </w:t>
      </w:r>
      <w:r>
        <w:br/>
      </w:r>
      <w:hyperlink r:id="rId22" w:history="1">
        <w:r w:rsidRPr="00184730">
          <w:rPr>
            <w:rStyle w:val="Hyperlink"/>
          </w:rPr>
          <w:t>https://jamanetwork.com/journals/jama/fullarticle/2796271</w:t>
        </w:r>
      </w:hyperlink>
      <w:r>
        <w:t xml:space="preserve"> </w:t>
      </w:r>
    </w:p>
    <w:p w:rsidR="00672A30" w:rsidRDefault="00672A30" w:rsidP="00672A30">
      <w:pPr>
        <w:spacing w:before="200"/>
        <w:rPr>
          <w:rFonts w:eastAsiaTheme="minorEastAsia"/>
        </w:rPr>
      </w:pPr>
    </w:p>
    <w:p w:rsidR="00672A30" w:rsidRDefault="00672A30" w:rsidP="00672A30">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617CB2" w:rsidRPr="00617CB2">
        <w:rPr>
          <w:rFonts w:eastAsiaTheme="minorEastAsia"/>
          <w:caps/>
          <w:spacing w:val="15"/>
        </w:rPr>
        <w:t>Time to redefine a primary vaccination series?</w:t>
      </w:r>
    </w:p>
    <w:p w:rsidR="00672A30" w:rsidRDefault="00617CB2" w:rsidP="00672A30">
      <w:pPr>
        <w:pBdr>
          <w:top w:val="single" w:sz="6" w:space="2" w:color="D4802C"/>
          <w:left w:val="single" w:sz="6" w:space="2" w:color="D4802C"/>
        </w:pBdr>
        <w:spacing w:before="300"/>
        <w:outlineLvl w:val="2"/>
      </w:pPr>
      <w:r>
        <w:rPr>
          <w:rFonts w:eastAsiaTheme="minorEastAsia"/>
          <w:caps/>
          <w:spacing w:val="15"/>
        </w:rPr>
        <w:t xml:space="preserve">the </w:t>
      </w:r>
      <w:proofErr w:type="gramStart"/>
      <w:r>
        <w:rPr>
          <w:rFonts w:eastAsiaTheme="minorEastAsia"/>
          <w:caps/>
          <w:spacing w:val="15"/>
        </w:rPr>
        <w:t>lancet  |</w:t>
      </w:r>
      <w:proofErr w:type="gramEnd"/>
      <w:r>
        <w:rPr>
          <w:rFonts w:eastAsiaTheme="minorEastAsia"/>
          <w:caps/>
          <w:spacing w:val="15"/>
        </w:rPr>
        <w:t xml:space="preserve"> </w:t>
      </w:r>
      <w:r w:rsidR="00672A30">
        <w:rPr>
          <w:rFonts w:eastAsiaTheme="minorEastAsia"/>
          <w:caps/>
          <w:spacing w:val="15"/>
        </w:rPr>
        <w:t>1</w:t>
      </w:r>
      <w:r w:rsidR="00672A30" w:rsidRPr="00E92671">
        <w:rPr>
          <w:rFonts w:eastAsiaTheme="minorEastAsia"/>
          <w:caps/>
          <w:spacing w:val="15"/>
          <w:vertAlign w:val="superscript"/>
        </w:rPr>
        <w:t>st</w:t>
      </w:r>
      <w:r w:rsidR="00672A30">
        <w:rPr>
          <w:rFonts w:eastAsiaTheme="minorEastAsia"/>
          <w:caps/>
          <w:spacing w:val="15"/>
        </w:rPr>
        <w:t xml:space="preserve"> august 2022</w:t>
      </w:r>
      <w:r w:rsidR="00672A30">
        <w:rPr>
          <w:rFonts w:eastAsiaTheme="minorEastAsia"/>
          <w:caps/>
          <w:spacing w:val="15"/>
        </w:rPr>
        <w:br/>
      </w:r>
      <w:r>
        <w:br/>
        <w:t>…</w:t>
      </w:r>
      <w:r w:rsidRPr="00617CB2">
        <w:t xml:space="preserve">Thus, we consider that two doses should be regarded as the primary vaccination series for Ad26.COV2.S in the era of omicron. </w:t>
      </w:r>
      <w:proofErr w:type="gramStart"/>
      <w:r w:rsidRPr="00617CB2">
        <w:t>WHO's updated recommendations also echo this point of view and advise that all efforts should be taken to provide a second dose 2–6 months after the first dose, particularly to the highest-priority and high-priority groups.7 When a second dose is to be given, WHO supports a flexible approach either to use two doses of Ad26.COV2.S vaccine or a heterologous vaccination schedule.</w:t>
      </w:r>
      <w:proofErr w:type="gramEnd"/>
      <w:r w:rsidRPr="00617CB2">
        <w:t xml:space="preserve"> A single-dose regimen is still an acceptable option for countries challenged with supply constraints and vaccine deployment issues</w:t>
      </w:r>
      <w:r>
        <w:t>…</w:t>
      </w:r>
      <w:proofErr w:type="gramStart"/>
      <w:r>
        <w:t>.</w:t>
      </w:r>
      <w:proofErr w:type="gramEnd"/>
      <w:r>
        <w:br/>
      </w:r>
      <w:hyperlink r:id="rId23" w:history="1">
        <w:r w:rsidRPr="00184730">
          <w:rPr>
            <w:rStyle w:val="Hyperlink"/>
          </w:rPr>
          <w:t>https://www.thelancet.com/journals/laninf/article/PIIS1473-3099(22)00576-X/fulltext</w:t>
        </w:r>
      </w:hyperlink>
      <w:r>
        <w:t xml:space="preserve"> </w:t>
      </w:r>
      <w:r>
        <w:br/>
        <w:t xml:space="preserve">Linked research: </w:t>
      </w:r>
      <w:hyperlink r:id="rId24" w:history="1">
        <w:r w:rsidRPr="00617CB2">
          <w:rPr>
            <w:rStyle w:val="Hyperlink"/>
          </w:rPr>
          <w:t>Efficacy, safety, and immunogenicity of a booster regimen of Ad26.COV2.S vaccine against COVID-19 (ENSEMBLE2): results of a randomised, double-blind, placebo-controlled, phase 3 trial</w:t>
        </w:r>
      </w:hyperlink>
    </w:p>
    <w:p w:rsidR="00672A30" w:rsidRDefault="00672A30" w:rsidP="0011143A">
      <w:pPr>
        <w:spacing w:before="200"/>
        <w:rPr>
          <w:rFonts w:eastAsiaTheme="minorEastAsia"/>
        </w:rPr>
      </w:pPr>
    </w:p>
    <w:p w:rsidR="0011143A" w:rsidRPr="004B283A" w:rsidRDefault="0011143A" w:rsidP="00455270">
      <w:pPr>
        <w:pBdr>
          <w:top w:val="single" w:sz="6" w:space="2" w:color="D4802C"/>
          <w:left w:val="single" w:sz="6" w:space="2" w:color="D4802C"/>
        </w:pBdr>
        <w:spacing w:before="300"/>
        <w:outlineLvl w:val="2"/>
        <w:rPr>
          <w:rFonts w:eastAsiaTheme="minorEastAsi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617CB2" w:rsidRPr="00617CB2">
        <w:rPr>
          <w:rFonts w:eastAsiaTheme="minorEastAsia"/>
          <w:caps/>
          <w:spacing w:val="15"/>
        </w:rPr>
        <w:t>Immunogenicity and safety of BNT162b2 mRNA vaccine in Chinese adults: A phase 2 randomised clinical trial</w:t>
      </w:r>
      <w:r w:rsidR="004F64D8">
        <w:rPr>
          <w:rFonts w:eastAsiaTheme="minorEastAsia"/>
          <w:caps/>
          <w:spacing w:val="15"/>
        </w:rPr>
        <w:br/>
      </w:r>
      <w:r w:rsidR="004F64D8">
        <w:rPr>
          <w:rFonts w:eastAsiaTheme="minorEastAsia"/>
          <w:caps/>
          <w:spacing w:val="15"/>
        </w:rPr>
        <w:br/>
      </w:r>
      <w:r w:rsidR="00617CB2">
        <w:rPr>
          <w:rFonts w:eastAsiaTheme="minorEastAsia"/>
          <w:caps/>
          <w:spacing w:val="15"/>
        </w:rPr>
        <w:t>the lancet regional health western pacific | 13</w:t>
      </w:r>
      <w:r w:rsidR="006919BB" w:rsidRPr="006919BB">
        <w:rPr>
          <w:rFonts w:eastAsiaTheme="minorEastAsia"/>
          <w:caps/>
          <w:spacing w:val="15"/>
          <w:vertAlign w:val="superscript"/>
        </w:rPr>
        <w:t>th</w:t>
      </w:r>
      <w:r w:rsidR="006919BB">
        <w:rPr>
          <w:rFonts w:eastAsiaTheme="minorEastAsia"/>
          <w:caps/>
          <w:spacing w:val="15"/>
        </w:rPr>
        <w:t xml:space="preserve"> </w:t>
      </w:r>
      <w:r w:rsidR="00062C8B">
        <w:rPr>
          <w:rFonts w:eastAsiaTheme="minorEastAsia"/>
          <w:caps/>
          <w:spacing w:val="15"/>
        </w:rPr>
        <w:t xml:space="preserve">september </w:t>
      </w:r>
      <w:r>
        <w:rPr>
          <w:rFonts w:eastAsiaTheme="minorEastAsia"/>
          <w:caps/>
          <w:spacing w:val="15"/>
        </w:rPr>
        <w:t>2022</w:t>
      </w:r>
      <w:r>
        <w:rPr>
          <w:rFonts w:eastAsiaTheme="minorEastAsia"/>
          <w:caps/>
          <w:spacing w:val="15"/>
        </w:rPr>
        <w:br/>
      </w:r>
      <w:r>
        <w:rPr>
          <w:rFonts w:eastAsiaTheme="minorEastAsia"/>
          <w:caps/>
          <w:spacing w:val="15"/>
        </w:rPr>
        <w:br/>
      </w:r>
      <w:r w:rsidR="00617CB2">
        <w:rPr>
          <w:rFonts w:eastAsiaTheme="minorEastAsia"/>
        </w:rPr>
        <w:t>…</w:t>
      </w:r>
      <w:r w:rsidR="00617CB2" w:rsidRPr="00617CB2">
        <w:rPr>
          <w:rFonts w:eastAsiaTheme="minorEastAsia"/>
        </w:rPr>
        <w:t xml:space="preserve">BNT162b2 vaccination induced a robust immune response with acceptable tolerability in Han Chinese adults. However, follow-up duration was relatively short and COVID-19 rates </w:t>
      </w:r>
      <w:proofErr w:type="gramStart"/>
      <w:r w:rsidR="00617CB2" w:rsidRPr="00617CB2">
        <w:rPr>
          <w:rFonts w:eastAsiaTheme="minorEastAsia"/>
        </w:rPr>
        <w:t>were not assessed</w:t>
      </w:r>
      <w:proofErr w:type="gramEnd"/>
      <w:r w:rsidR="00617CB2" w:rsidRPr="00617CB2">
        <w:rPr>
          <w:rFonts w:eastAsiaTheme="minorEastAsia"/>
        </w:rPr>
        <w:t>. Safety data collection is continuing until 12 mo</w:t>
      </w:r>
      <w:r w:rsidR="00617CB2">
        <w:rPr>
          <w:rFonts w:eastAsiaTheme="minorEastAsia"/>
        </w:rPr>
        <w:t>nths after the second dose.</w:t>
      </w:r>
      <w:r w:rsidR="00617CB2">
        <w:rPr>
          <w:rFonts w:eastAsiaTheme="minorEastAsia"/>
        </w:rPr>
        <w:br/>
      </w:r>
      <w:hyperlink r:id="rId25" w:history="1">
        <w:r w:rsidR="00617CB2" w:rsidRPr="00184730">
          <w:rPr>
            <w:rStyle w:val="Hyperlink"/>
            <w:rFonts w:eastAsiaTheme="minorEastAsia"/>
          </w:rPr>
          <w:t>https://www.thelancet.com/journals/lanwpc/article/PIIS2666-6065(22)00201-2/fulltext</w:t>
        </w:r>
      </w:hyperlink>
      <w:r w:rsidR="00617CB2">
        <w:rPr>
          <w:rFonts w:eastAsiaTheme="minorEastAsia"/>
        </w:rPr>
        <w:t xml:space="preserve"> </w:t>
      </w:r>
    </w:p>
    <w:p w:rsidR="0011143A" w:rsidRDefault="0011143A" w:rsidP="0011143A">
      <w:pPr>
        <w:spacing w:before="200"/>
        <w:rPr>
          <w:rFonts w:eastAsiaTheme="minorEastAsia"/>
        </w:rPr>
      </w:pPr>
    </w:p>
    <w:p w:rsidR="0011143A" w:rsidRDefault="0011143A" w:rsidP="00062C8B">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00617CB2" w:rsidRPr="008B4670">
        <w:rPr>
          <w:rFonts w:eastAsiaTheme="minorEastAsia"/>
          <w:b/>
          <w:spacing w:val="15"/>
        </w:rPr>
        <w:t>:</w:t>
      </w:r>
      <w:r w:rsidR="00617CB2" w:rsidRPr="00950614">
        <w:t xml:space="preserve"> </w:t>
      </w:r>
      <w:r w:rsidR="00617CB2" w:rsidRPr="00617CB2">
        <w:t>ANTIBODY FOUND IN MICE NEUTRALIZES SARS-COV-2 AND SARS-COV-1</w:t>
      </w:r>
    </w:p>
    <w:p w:rsidR="0011143A" w:rsidRPr="004B283A" w:rsidRDefault="00617CB2" w:rsidP="00062C8B">
      <w:pPr>
        <w:pBdr>
          <w:top w:val="single" w:sz="6" w:space="2" w:color="D4802C"/>
          <w:left w:val="single" w:sz="6" w:space="2" w:color="D4802C"/>
        </w:pBdr>
        <w:spacing w:before="300"/>
        <w:outlineLvl w:val="2"/>
        <w:rPr>
          <w:rFonts w:eastAsiaTheme="minorEastAsia"/>
        </w:rPr>
      </w:pPr>
      <w:r>
        <w:rPr>
          <w:rFonts w:eastAsiaTheme="minorEastAsia"/>
          <w:caps/>
          <w:spacing w:val="15"/>
        </w:rPr>
        <w:t xml:space="preserve">JAMA </w:t>
      </w:r>
      <w:r w:rsidR="0011143A">
        <w:rPr>
          <w:rFonts w:eastAsiaTheme="minorEastAsia"/>
          <w:caps/>
          <w:spacing w:val="15"/>
        </w:rPr>
        <w:t xml:space="preserve">| </w:t>
      </w:r>
      <w:r>
        <w:rPr>
          <w:rFonts w:eastAsiaTheme="minorEastAsia"/>
          <w:caps/>
          <w:spacing w:val="15"/>
        </w:rPr>
        <w:t>13</w:t>
      </w:r>
      <w:r w:rsidR="006919BB" w:rsidRPr="006919BB">
        <w:rPr>
          <w:rFonts w:eastAsiaTheme="minorEastAsia"/>
          <w:caps/>
          <w:spacing w:val="15"/>
          <w:vertAlign w:val="superscript"/>
        </w:rPr>
        <w:t>th</w:t>
      </w:r>
      <w:r w:rsidR="006919BB">
        <w:rPr>
          <w:rFonts w:eastAsiaTheme="minorEastAsia"/>
          <w:caps/>
          <w:spacing w:val="15"/>
        </w:rPr>
        <w:t xml:space="preserve"> </w:t>
      </w:r>
      <w:r w:rsidR="00062C8B">
        <w:rPr>
          <w:rFonts w:eastAsiaTheme="minorEastAsia"/>
          <w:caps/>
          <w:spacing w:val="15"/>
        </w:rPr>
        <w:t>september</w:t>
      </w:r>
      <w:r w:rsidR="004F64D8">
        <w:rPr>
          <w:rFonts w:eastAsiaTheme="minorEastAsia"/>
          <w:caps/>
          <w:spacing w:val="15"/>
        </w:rPr>
        <w:t xml:space="preserve"> </w:t>
      </w:r>
      <w:r w:rsidR="0011143A">
        <w:rPr>
          <w:rFonts w:eastAsiaTheme="minorEastAsia"/>
          <w:caps/>
          <w:spacing w:val="15"/>
        </w:rPr>
        <w:t>2022</w:t>
      </w:r>
      <w:r w:rsidR="0011143A">
        <w:rPr>
          <w:rFonts w:eastAsiaTheme="minorEastAsia"/>
          <w:caps/>
          <w:spacing w:val="15"/>
        </w:rPr>
        <w:br/>
      </w:r>
      <w:r w:rsidR="0011143A">
        <w:rPr>
          <w:rFonts w:eastAsiaTheme="minorEastAsia"/>
        </w:rPr>
        <w:br/>
      </w:r>
      <w:r>
        <w:rPr>
          <w:rFonts w:eastAsiaTheme="minorEastAsia"/>
        </w:rPr>
        <w:t>R</w:t>
      </w:r>
      <w:r w:rsidRPr="00617CB2">
        <w:rPr>
          <w:rFonts w:eastAsiaTheme="minorEastAsia"/>
        </w:rPr>
        <w:t xml:space="preserve">esearchers have identified an antibody that broadly neutralized all tested SARS-CoV-2 </w:t>
      </w:r>
      <w:proofErr w:type="spellStart"/>
      <w:r w:rsidRPr="00617CB2">
        <w:rPr>
          <w:rFonts w:eastAsiaTheme="minorEastAsia"/>
        </w:rPr>
        <w:t>subvariants</w:t>
      </w:r>
      <w:proofErr w:type="spellEnd"/>
      <w:r w:rsidRPr="00617CB2">
        <w:rPr>
          <w:rFonts w:eastAsiaTheme="minorEastAsia"/>
        </w:rPr>
        <w:t xml:space="preserve"> as well as SARS-CoV-1 in laboratory experiments and several SARS-CoV-2 variants of concern in mice. Because it targets a spike protein area that </w:t>
      </w:r>
      <w:proofErr w:type="gramStart"/>
      <w:r w:rsidRPr="00617CB2">
        <w:rPr>
          <w:rFonts w:eastAsiaTheme="minorEastAsia"/>
        </w:rPr>
        <w:t>may be less affected</w:t>
      </w:r>
      <w:proofErr w:type="gramEnd"/>
      <w:r w:rsidRPr="00617CB2">
        <w:rPr>
          <w:rFonts w:eastAsiaTheme="minorEastAsia"/>
        </w:rPr>
        <w:t xml:space="preserve"> by genetic variations, the newly discovered antibody could better retain potency against emerging SARS-CoV-2 </w:t>
      </w:r>
      <w:proofErr w:type="spellStart"/>
      <w:r w:rsidRPr="00617CB2">
        <w:rPr>
          <w:rFonts w:eastAsiaTheme="minorEastAsia"/>
        </w:rPr>
        <w:t>subvariants</w:t>
      </w:r>
      <w:proofErr w:type="spellEnd"/>
      <w:r w:rsidRPr="00617CB2">
        <w:rPr>
          <w:rFonts w:eastAsiaTheme="minorEastAsia"/>
        </w:rPr>
        <w:t xml:space="preserve"> and future coronaviruses, if developed into therapeutic products.</w:t>
      </w:r>
      <w:r w:rsidR="00062C8B">
        <w:rPr>
          <w:rFonts w:eastAsiaTheme="minorEastAsia"/>
        </w:rPr>
        <w:br/>
      </w:r>
      <w:hyperlink r:id="rId26" w:history="1">
        <w:r w:rsidRPr="00184730">
          <w:rPr>
            <w:rStyle w:val="Hyperlink"/>
            <w:rFonts w:eastAsiaTheme="minorEastAsia"/>
          </w:rPr>
          <w:t>https://jamanetwork.com/journals/jama/fullarticle/2796269</w:t>
        </w:r>
      </w:hyperlink>
      <w:r>
        <w:rPr>
          <w:rFonts w:eastAsiaTheme="minorEastAsia"/>
        </w:rPr>
        <w:t xml:space="preserve"> </w:t>
      </w:r>
    </w:p>
    <w:p w:rsidR="0011143A" w:rsidRDefault="0011143A" w:rsidP="0011143A">
      <w:pPr>
        <w:spacing w:before="200"/>
        <w:rPr>
          <w:rFonts w:eastAsiaTheme="minorEastAsia"/>
        </w:rPr>
      </w:pPr>
    </w:p>
    <w:p w:rsidR="0011143A" w:rsidRPr="00E24F70" w:rsidRDefault="0011143A" w:rsidP="0011143A">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617CB2" w:rsidRPr="00617CB2">
        <w:rPr>
          <w:rFonts w:eastAsiaTheme="minorEastAsia"/>
          <w:caps/>
          <w:spacing w:val="15"/>
        </w:rPr>
        <w:t>Durability of Immune Response After COVID-19 Booster Vaccination and Association With COVID-19 Omicron Infection</w:t>
      </w:r>
    </w:p>
    <w:p w:rsidR="00617CB2" w:rsidRPr="00617CB2" w:rsidRDefault="00617CB2" w:rsidP="00617CB2">
      <w:pPr>
        <w:pBdr>
          <w:top w:val="single" w:sz="6" w:space="2" w:color="D4802C"/>
          <w:left w:val="single" w:sz="6" w:space="2" w:color="D4802C"/>
        </w:pBdr>
        <w:spacing w:before="300"/>
        <w:outlineLvl w:val="2"/>
        <w:rPr>
          <w:rFonts w:eastAsiaTheme="minorEastAsia"/>
        </w:rPr>
      </w:pPr>
      <w:r>
        <w:rPr>
          <w:rFonts w:eastAsiaTheme="minorEastAsia"/>
          <w:caps/>
          <w:spacing w:val="15"/>
        </w:rPr>
        <w:t xml:space="preserve">JAMA </w:t>
      </w:r>
      <w:r w:rsidR="009E448B" w:rsidRPr="009E448B">
        <w:rPr>
          <w:rFonts w:eastAsiaTheme="minorEastAsia"/>
          <w:caps/>
          <w:spacing w:val="15"/>
        </w:rPr>
        <w:t xml:space="preserve">| </w:t>
      </w:r>
      <w:r>
        <w:rPr>
          <w:rFonts w:eastAsiaTheme="minorEastAsia"/>
          <w:caps/>
          <w:spacing w:val="15"/>
        </w:rPr>
        <w:t>1</w:t>
      </w:r>
      <w:r w:rsidR="009E448B" w:rsidRPr="009E448B">
        <w:rPr>
          <w:rFonts w:eastAsiaTheme="minorEastAsia"/>
          <w:caps/>
          <w:spacing w:val="15"/>
        </w:rPr>
        <w:t>5TH SEPTEMBER 2022</w:t>
      </w:r>
      <w:r w:rsidR="0011143A">
        <w:rPr>
          <w:rFonts w:eastAsiaTheme="minorEastAsia"/>
          <w:caps/>
          <w:spacing w:val="15"/>
        </w:rPr>
        <w:br/>
      </w:r>
      <w:r w:rsidR="0011143A">
        <w:rPr>
          <w:rFonts w:eastAsiaTheme="minorEastAsia"/>
        </w:rPr>
        <w:br/>
      </w:r>
      <w:r w:rsidRPr="00617CB2">
        <w:rPr>
          <w:rFonts w:eastAsiaTheme="minorEastAsia"/>
        </w:rPr>
        <w:t>Question  What is the durability of the immune response after 3 vaccine doses, and are antibody kinetics associated with SARS-CoV-2 Omicron infection?</w:t>
      </w:r>
    </w:p>
    <w:p w:rsidR="00617CB2" w:rsidRPr="00617CB2" w:rsidRDefault="00617CB2" w:rsidP="00617CB2">
      <w:pPr>
        <w:pBdr>
          <w:top w:val="single" w:sz="6" w:space="2" w:color="D4802C"/>
          <w:left w:val="single" w:sz="6" w:space="2" w:color="D4802C"/>
        </w:pBdr>
        <w:spacing w:before="300"/>
        <w:outlineLvl w:val="2"/>
        <w:rPr>
          <w:rFonts w:eastAsiaTheme="minorEastAsia"/>
        </w:rPr>
      </w:pPr>
      <w:proofErr w:type="gramStart"/>
      <w:r w:rsidRPr="00617CB2">
        <w:rPr>
          <w:rFonts w:eastAsiaTheme="minorEastAsia"/>
        </w:rPr>
        <w:t>Findings  In</w:t>
      </w:r>
      <w:proofErr w:type="gramEnd"/>
      <w:r w:rsidRPr="00617CB2">
        <w:rPr>
          <w:rFonts w:eastAsiaTheme="minorEastAsia"/>
        </w:rPr>
        <w:t xml:space="preserve"> this cohort study of 3972 health care workers, reduction in antibody levels 5 months after the third BNT162b2 vaccine dose was slower than after the second, while Omicron's neutralizing response was lower compared with other variants of concern. Peak antibody levels after the third dose were associated with Omicron infection.</w:t>
      </w:r>
    </w:p>
    <w:p w:rsidR="0011143A" w:rsidRPr="00364BE3" w:rsidRDefault="00617CB2" w:rsidP="00617CB2">
      <w:pPr>
        <w:pBdr>
          <w:top w:val="single" w:sz="6" w:space="2" w:color="D4802C"/>
          <w:left w:val="single" w:sz="6" w:space="2" w:color="D4802C"/>
        </w:pBdr>
        <w:spacing w:before="300"/>
        <w:outlineLvl w:val="2"/>
        <w:rPr>
          <w:rFonts w:eastAsiaTheme="minorEastAsia"/>
        </w:rPr>
      </w:pPr>
      <w:proofErr w:type="gramStart"/>
      <w:r w:rsidRPr="00617CB2">
        <w:rPr>
          <w:rFonts w:eastAsiaTheme="minorEastAsia"/>
        </w:rPr>
        <w:t>Meaning  This</w:t>
      </w:r>
      <w:proofErr w:type="gramEnd"/>
      <w:r w:rsidRPr="00617CB2">
        <w:rPr>
          <w:rFonts w:eastAsiaTheme="minorEastAsia"/>
        </w:rPr>
        <w:t xml:space="preserve"> study found that the humoral response after the third vaccine dose was sustained for 5 months and that antibody kinetics were associated with Omicron infection.</w:t>
      </w:r>
      <w:r w:rsidR="00062C8B">
        <w:rPr>
          <w:rFonts w:eastAsiaTheme="minorEastAsia"/>
        </w:rPr>
        <w:br/>
      </w:r>
      <w:hyperlink r:id="rId27" w:history="1">
        <w:r w:rsidRPr="00184730">
          <w:rPr>
            <w:rStyle w:val="Hyperlink"/>
            <w:rFonts w:eastAsiaTheme="minorEastAsia"/>
          </w:rPr>
          <w:t>https://jamanetwork.com/journals/jamanetworkopen/fullarticle/2796277</w:t>
        </w:r>
      </w:hyperlink>
      <w:r>
        <w:rPr>
          <w:rFonts w:eastAsiaTheme="minorEastAsia"/>
        </w:rPr>
        <w:t xml:space="preserve"> </w:t>
      </w:r>
    </w:p>
    <w:p w:rsidR="0011143A" w:rsidRDefault="0011143A" w:rsidP="0024067F">
      <w:pPr>
        <w:spacing w:before="200"/>
        <w:rPr>
          <w:rFonts w:eastAsiaTheme="minorEastAsia"/>
        </w:rPr>
      </w:pPr>
    </w:p>
    <w:p w:rsidR="00834589" w:rsidRPr="00A04E39" w:rsidRDefault="00834589" w:rsidP="00455270">
      <w:pPr>
        <w:pBdr>
          <w:top w:val="single" w:sz="6" w:space="2" w:color="D4802C"/>
          <w:left w:val="single" w:sz="6" w:space="2" w:color="D4802C"/>
        </w:pBdr>
        <w:spacing w:before="300"/>
        <w:outlineLvl w:val="2"/>
        <w:rPr>
          <w:rFonts w:cstheme="minorHAnsi"/>
          <w:color w:val="1A1A1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4E4138" w:rsidRPr="004E4138">
        <w:rPr>
          <w:rFonts w:eastAsiaTheme="minorEastAsia"/>
          <w:caps/>
          <w:spacing w:val="15"/>
        </w:rPr>
        <w:t>Effectiveness and Durability of the BNT162b2 Vaccine against Omicron Sublineages in South Africa</w:t>
      </w:r>
      <w:r>
        <w:rPr>
          <w:rFonts w:eastAsiaTheme="minorEastAsia"/>
          <w:caps/>
          <w:spacing w:val="15"/>
        </w:rPr>
        <w:br/>
      </w:r>
      <w:r>
        <w:rPr>
          <w:rFonts w:eastAsiaTheme="minorEastAsia"/>
          <w:caps/>
          <w:spacing w:val="15"/>
        </w:rPr>
        <w:br/>
      </w:r>
      <w:r w:rsidR="004E4138">
        <w:rPr>
          <w:rFonts w:eastAsiaTheme="minorEastAsia"/>
          <w:caps/>
          <w:spacing w:val="15"/>
        </w:rPr>
        <w:t>new england journal of medicine</w:t>
      </w:r>
      <w:r w:rsidR="009E448B">
        <w:rPr>
          <w:rFonts w:eastAsiaTheme="minorEastAsia"/>
          <w:caps/>
          <w:spacing w:val="15"/>
        </w:rPr>
        <w:t xml:space="preserve"> </w:t>
      </w:r>
      <w:r w:rsidR="004E4138">
        <w:rPr>
          <w:rFonts w:eastAsiaTheme="minorEastAsia"/>
          <w:caps/>
          <w:spacing w:val="15"/>
        </w:rPr>
        <w:t>| 14</w:t>
      </w:r>
      <w:r w:rsidR="009E448B" w:rsidRPr="009E448B">
        <w:rPr>
          <w:rFonts w:eastAsiaTheme="minorEastAsia"/>
          <w:caps/>
          <w:spacing w:val="15"/>
          <w:vertAlign w:val="superscript"/>
        </w:rPr>
        <w:t>th</w:t>
      </w:r>
      <w:r w:rsidR="009E448B">
        <w:rPr>
          <w:rFonts w:eastAsiaTheme="minorEastAsia"/>
          <w:caps/>
          <w:spacing w:val="15"/>
        </w:rPr>
        <w:t xml:space="preserve"> september</w:t>
      </w:r>
      <w:r>
        <w:rPr>
          <w:rFonts w:eastAsiaTheme="minorEastAsia"/>
          <w:caps/>
          <w:spacing w:val="15"/>
        </w:rPr>
        <w:t xml:space="preserve"> 2022</w:t>
      </w:r>
      <w:r w:rsidR="009B4EF6">
        <w:rPr>
          <w:rFonts w:eastAsiaTheme="minorEastAsia"/>
          <w:caps/>
          <w:spacing w:val="15"/>
        </w:rPr>
        <w:br/>
      </w:r>
      <w:r w:rsidR="009B4EF6">
        <w:rPr>
          <w:rFonts w:eastAsiaTheme="minorEastAsia"/>
          <w:caps/>
          <w:spacing w:val="15"/>
        </w:rPr>
        <w:br/>
      </w:r>
      <w:r w:rsidR="004E4138">
        <w:rPr>
          <w:rFonts w:cstheme="minorHAnsi"/>
          <w:color w:val="1A1A1A"/>
        </w:rPr>
        <w:t>…</w:t>
      </w:r>
      <w:r w:rsidR="004E4138" w:rsidRPr="004E4138">
        <w:rPr>
          <w:rFonts w:cstheme="minorHAnsi"/>
          <w:color w:val="1A1A1A"/>
        </w:rPr>
        <w:t xml:space="preserve">Thus, after either two doses or three doses of the BNT162b2 vaccine, we found rapid waning of vaccine effectiveness against the current </w:t>
      </w:r>
      <w:proofErr w:type="spellStart"/>
      <w:r w:rsidR="004E4138" w:rsidRPr="004E4138">
        <w:rPr>
          <w:rFonts w:cstheme="minorHAnsi"/>
          <w:color w:val="1A1A1A"/>
        </w:rPr>
        <w:t>sublineages</w:t>
      </w:r>
      <w:proofErr w:type="spellEnd"/>
      <w:r w:rsidR="004E4138" w:rsidRPr="004E4138">
        <w:rPr>
          <w:rFonts w:cstheme="minorHAnsi"/>
          <w:color w:val="1A1A1A"/>
        </w:rPr>
        <w:t xml:space="preserve"> of the omicron variant with respect to protection against hospitalization. Our data indicate that boosting maintains vaccine effectiveness against severe disease caused by the current omicron </w:t>
      </w:r>
      <w:proofErr w:type="spellStart"/>
      <w:r w:rsidR="004E4138" w:rsidRPr="004E4138">
        <w:rPr>
          <w:rFonts w:cstheme="minorHAnsi"/>
          <w:color w:val="1A1A1A"/>
        </w:rPr>
        <w:t>sublineages</w:t>
      </w:r>
      <w:proofErr w:type="spellEnd"/>
      <w:r w:rsidR="004E4138" w:rsidRPr="004E4138">
        <w:rPr>
          <w:rFonts w:cstheme="minorHAnsi"/>
          <w:color w:val="1A1A1A"/>
        </w:rPr>
        <w:t>, although the evidence of rapid waning of durability indicates the need for regular boosting as early as 4 months after the last dose or the need for vaccines to incorporate variants of concern to maintain protection.</w:t>
      </w:r>
      <w:r w:rsidR="009E448B">
        <w:rPr>
          <w:rFonts w:cstheme="minorHAnsi"/>
          <w:color w:val="1A1A1A"/>
        </w:rPr>
        <w:br/>
      </w:r>
      <w:hyperlink r:id="rId28" w:history="1">
        <w:r w:rsidR="004E4138" w:rsidRPr="00184730">
          <w:rPr>
            <w:rStyle w:val="Hyperlink"/>
            <w:rFonts w:cstheme="minorHAnsi"/>
          </w:rPr>
          <w:t>https://www.nejm.org/doi/full/10.1056/NEJMc2210093</w:t>
        </w:r>
      </w:hyperlink>
      <w:r w:rsidR="004E4138">
        <w:rPr>
          <w:rFonts w:cstheme="minorHAnsi"/>
          <w:color w:val="1A1A1A"/>
        </w:rPr>
        <w:t xml:space="preserve"> </w:t>
      </w:r>
    </w:p>
    <w:p w:rsidR="00834589" w:rsidRDefault="00834589" w:rsidP="0024067F">
      <w:pPr>
        <w:spacing w:before="200"/>
        <w:rPr>
          <w:rFonts w:eastAsiaTheme="minorEastAsia"/>
        </w:rPr>
      </w:pPr>
    </w:p>
    <w:p w:rsidR="00834589" w:rsidRPr="00F54907" w:rsidRDefault="00834589" w:rsidP="00672A30">
      <w:pPr>
        <w:pBdr>
          <w:top w:val="single" w:sz="6" w:space="2" w:color="D4802C"/>
          <w:left w:val="single" w:sz="6" w:space="2" w:color="D4802C"/>
        </w:pBdr>
        <w:spacing w:before="300"/>
        <w:outlineLvl w:val="2"/>
        <w:rPr>
          <w:rFonts w:eastAsiaTheme="minorEastAsi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4E4138" w:rsidRPr="004E4138">
        <w:rPr>
          <w:rFonts w:eastAsiaTheme="minorEastAsia"/>
          <w:caps/>
          <w:spacing w:val="15"/>
        </w:rPr>
        <w:t>Protection against Omicron by Mucosal IgA Antibodies</w:t>
      </w:r>
      <w:r w:rsidR="00384A28">
        <w:rPr>
          <w:rFonts w:eastAsiaTheme="minorEastAsia"/>
          <w:caps/>
          <w:spacing w:val="15"/>
        </w:rPr>
        <w:br/>
      </w:r>
      <w:r w:rsidR="00672A30">
        <w:rPr>
          <w:rFonts w:eastAsiaTheme="minorEastAsia"/>
          <w:caps/>
          <w:spacing w:val="15"/>
        </w:rPr>
        <w:br/>
      </w:r>
      <w:r w:rsidR="004E4138" w:rsidRPr="004E4138">
        <w:rPr>
          <w:rFonts w:eastAsiaTheme="minorEastAsia"/>
          <w:caps/>
          <w:spacing w:val="15"/>
        </w:rPr>
        <w:t>NEW ENGLAND JOURNAL OF MEDICINE | 14TH SEPTEMBER 2022</w:t>
      </w:r>
      <w:r>
        <w:rPr>
          <w:rFonts w:eastAsiaTheme="minorEastAsia"/>
          <w:caps/>
          <w:spacing w:val="15"/>
        </w:rPr>
        <w:br/>
      </w:r>
      <w:r>
        <w:rPr>
          <w:rFonts w:eastAsiaTheme="minorEastAsia"/>
        </w:rPr>
        <w:br/>
      </w:r>
      <w:r w:rsidR="004E4138">
        <w:rPr>
          <w:rFonts w:eastAsiaTheme="minorEastAsia"/>
        </w:rPr>
        <w:t>…</w:t>
      </w:r>
      <w:r w:rsidR="004E4138" w:rsidRPr="004E4138">
        <w:rPr>
          <w:rFonts w:eastAsiaTheme="minorEastAsia"/>
        </w:rPr>
        <w:t xml:space="preserve">Taken together, these findings suggest that wild-type SARS-CoV-2 spike-specific mucosal IgA is protective against omicron infection. Further studies </w:t>
      </w:r>
      <w:proofErr w:type="gramStart"/>
      <w:r w:rsidR="004E4138" w:rsidRPr="004E4138">
        <w:rPr>
          <w:rFonts w:eastAsiaTheme="minorEastAsia"/>
        </w:rPr>
        <w:t>are warranted</w:t>
      </w:r>
      <w:proofErr w:type="gramEnd"/>
      <w:r w:rsidR="004E4138" w:rsidRPr="004E4138">
        <w:rPr>
          <w:rFonts w:eastAsiaTheme="minorEastAsia"/>
        </w:rPr>
        <w:t xml:space="preserve"> to determine whether vaccines that induce a combination of mucosal and systemic immune responses would confer stronger protection than intramuscular vaccines.</w:t>
      </w:r>
      <w:r w:rsidR="0059716D">
        <w:rPr>
          <w:rFonts w:eastAsiaTheme="minorEastAsia"/>
        </w:rPr>
        <w:br/>
      </w:r>
      <w:hyperlink r:id="rId29" w:history="1">
        <w:r w:rsidR="00672A30" w:rsidRPr="00BB6BF8">
          <w:rPr>
            <w:rStyle w:val="Hyperlink"/>
            <w:rFonts w:eastAsiaTheme="minorEastAsia"/>
          </w:rPr>
          <w:t>https://jamanetwork.com/journals/jamainternalmedicine/fullarticle/2796235</w:t>
        </w:r>
      </w:hyperlink>
      <w:r w:rsidR="00672A30">
        <w:rPr>
          <w:rFonts w:eastAsiaTheme="minorEastAsia"/>
        </w:rPr>
        <w:t xml:space="preserve"> </w:t>
      </w:r>
    </w:p>
    <w:p w:rsidR="00834589" w:rsidRDefault="00834589" w:rsidP="0024067F">
      <w:pPr>
        <w:spacing w:before="200"/>
        <w:rPr>
          <w:rFonts w:eastAsiaTheme="minorEastAsia"/>
        </w:rPr>
      </w:pPr>
    </w:p>
    <w:p w:rsidR="00AE392E" w:rsidRDefault="00AE392E" w:rsidP="00AE392E">
      <w:pPr>
        <w:pBdr>
          <w:top w:val="single" w:sz="6" w:space="2" w:color="D4802C"/>
          <w:left w:val="single" w:sz="6" w:space="2" w:color="D4802C"/>
        </w:pBdr>
        <w:spacing w:before="300"/>
        <w:outlineLvl w:val="2"/>
        <w:rPr>
          <w:rFonts w:eastAsiaTheme="minorEastAsia"/>
        </w:rPr>
      </w:pPr>
      <w:proofErr w:type="gramStart"/>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4E4138" w:rsidRPr="004E4138">
        <w:rPr>
          <w:rFonts w:eastAsiaTheme="minorEastAsia"/>
          <w:caps/>
          <w:spacing w:val="15"/>
        </w:rPr>
        <w:t>SARS-CoV-2 vaccines tolerability: A perspective by people with multiple sclerosis</w:t>
      </w:r>
      <w:r>
        <w:rPr>
          <w:rFonts w:eastAsiaTheme="minorEastAsia"/>
          <w:caps/>
          <w:spacing w:val="15"/>
        </w:rPr>
        <w:br/>
      </w:r>
      <w:r>
        <w:rPr>
          <w:rFonts w:eastAsiaTheme="minorEastAsia"/>
          <w:caps/>
          <w:spacing w:val="15"/>
        </w:rPr>
        <w:br/>
      </w:r>
      <w:r w:rsidR="004E4138">
        <w:rPr>
          <w:rFonts w:eastAsiaTheme="minorEastAsia"/>
          <w:caps/>
          <w:spacing w:val="15"/>
        </w:rPr>
        <w:t>the lancet regional health europe| 15</w:t>
      </w:r>
      <w:r w:rsidRPr="00672A30">
        <w:rPr>
          <w:rFonts w:eastAsiaTheme="minorEastAsia"/>
          <w:caps/>
          <w:spacing w:val="15"/>
          <w:vertAlign w:val="superscript"/>
        </w:rPr>
        <w:t>th</w:t>
      </w:r>
      <w:r>
        <w:rPr>
          <w:rFonts w:eastAsiaTheme="minorEastAsia"/>
          <w:caps/>
          <w:spacing w:val="15"/>
        </w:rPr>
        <w:t xml:space="preserve"> september 2022</w:t>
      </w:r>
      <w:r>
        <w:rPr>
          <w:rFonts w:eastAsiaTheme="minorEastAsia"/>
          <w:caps/>
          <w:spacing w:val="15"/>
        </w:rPr>
        <w:br/>
      </w:r>
      <w:r>
        <w:rPr>
          <w:rFonts w:eastAsiaTheme="minorEastAsia"/>
        </w:rPr>
        <w:br/>
      </w:r>
      <w:r w:rsidR="004E4138">
        <w:rPr>
          <w:rFonts w:eastAsiaTheme="minorEastAsia"/>
        </w:rPr>
        <w:t>…</w:t>
      </w:r>
      <w:r w:rsidR="004E4138" w:rsidRPr="004E4138">
        <w:rPr>
          <w:rFonts w:eastAsiaTheme="minorEastAsia"/>
        </w:rPr>
        <w:t xml:space="preserve">All such observations suggest the need of well-designed large cohort studies that could allow to go beyond the current methodological heterogeneity of studies on vaccines safety in MS Despite the potential limitations, the study by </w:t>
      </w:r>
      <w:proofErr w:type="spellStart"/>
      <w:r w:rsidR="004E4138" w:rsidRPr="004E4138">
        <w:rPr>
          <w:rFonts w:eastAsiaTheme="minorEastAsia"/>
        </w:rPr>
        <w:t>Frahm</w:t>
      </w:r>
      <w:proofErr w:type="spellEnd"/>
      <w:r w:rsidR="004E4138" w:rsidRPr="004E4138">
        <w:rPr>
          <w:rFonts w:eastAsiaTheme="minorEastAsia"/>
        </w:rPr>
        <w:t xml:space="preserve"> and colleagues7 has the merit to provide us with an informative patient-reported perspective on SARS-CoV-2 vaccines tolerability, collected from a large group of European subjects undergoing both mRNA and viral vector-based vaccines.</w:t>
      </w:r>
      <w:proofErr w:type="gramEnd"/>
      <w:r w:rsidR="004E4138" w:rsidRPr="004E4138">
        <w:rPr>
          <w:rFonts w:eastAsiaTheme="minorEastAsia"/>
        </w:rPr>
        <w:t xml:space="preserve"> The obtained results add another useful piece to the complex puzzle of vaccinations in MS.</w:t>
      </w:r>
      <w:r w:rsidR="004E4138">
        <w:rPr>
          <w:rFonts w:eastAsiaTheme="minorEastAsia"/>
        </w:rPr>
        <w:br/>
      </w:r>
      <w:hyperlink r:id="rId30" w:history="1">
        <w:r w:rsidR="004E4138" w:rsidRPr="00184730">
          <w:rPr>
            <w:rStyle w:val="Hyperlink"/>
            <w:rFonts w:eastAsiaTheme="minorEastAsia"/>
          </w:rPr>
          <w:t>https://www.thelancet.com/journals/lanepe/article/PIIS2666-7762(22)00208-3/fulltext</w:t>
        </w:r>
      </w:hyperlink>
      <w:r w:rsidR="004E4138">
        <w:rPr>
          <w:rFonts w:eastAsiaTheme="minorEastAsia"/>
        </w:rPr>
        <w:t xml:space="preserve"> </w:t>
      </w:r>
    </w:p>
    <w:p w:rsidR="00AE392E" w:rsidRDefault="00AE392E" w:rsidP="0024067F">
      <w:pPr>
        <w:spacing w:before="200"/>
        <w:rPr>
          <w:rFonts w:eastAsiaTheme="minorEastAsia"/>
        </w:rPr>
      </w:pPr>
    </w:p>
    <w:p w:rsidR="00AE392E" w:rsidRDefault="00AE392E" w:rsidP="0024067F">
      <w:pPr>
        <w:spacing w:before="200"/>
        <w:rPr>
          <w:rFonts w:eastAsiaTheme="minorEastAsia"/>
        </w:rPr>
      </w:pPr>
    </w:p>
    <w:p w:rsidR="00AE392E" w:rsidRDefault="00AE392E" w:rsidP="00AE392E">
      <w:pPr>
        <w:pBdr>
          <w:top w:val="single" w:sz="6" w:space="2" w:color="D4802C"/>
          <w:left w:val="single" w:sz="6" w:space="2" w:color="D4802C"/>
        </w:pBdr>
        <w:spacing w:before="300"/>
        <w:outlineLvl w:val="2"/>
        <w:rPr>
          <w:rFonts w:eastAsiaTheme="minorEastAsia"/>
        </w:rPr>
      </w:pPr>
      <w:proofErr w:type="gramStart"/>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4E4138" w:rsidRPr="004E4138">
        <w:rPr>
          <w:rFonts w:eastAsiaTheme="minorEastAsia"/>
          <w:caps/>
          <w:spacing w:val="15"/>
        </w:rPr>
        <w:t>SARS-CoV-2 vaccination in haemodialysis patients: Insides from a prospective study comparing mRNA and viral vector vaccines</w:t>
      </w:r>
      <w:r>
        <w:rPr>
          <w:rFonts w:eastAsiaTheme="minorEastAsia"/>
          <w:caps/>
          <w:spacing w:val="15"/>
        </w:rPr>
        <w:br/>
      </w:r>
      <w:r>
        <w:rPr>
          <w:rFonts w:eastAsiaTheme="minorEastAsia"/>
          <w:caps/>
          <w:spacing w:val="15"/>
        </w:rPr>
        <w:br/>
      </w:r>
      <w:r w:rsidR="004E4138" w:rsidRPr="004E4138">
        <w:rPr>
          <w:rFonts w:eastAsiaTheme="minorEastAsia"/>
          <w:caps/>
          <w:spacing w:val="15"/>
        </w:rPr>
        <w:t>THE L</w:t>
      </w:r>
      <w:r w:rsidR="004E4138">
        <w:rPr>
          <w:rFonts w:eastAsiaTheme="minorEastAsia"/>
          <w:caps/>
          <w:spacing w:val="15"/>
        </w:rPr>
        <w:t>ANCET REGIONAL HEALTH EUROPE| 13</w:t>
      </w:r>
      <w:r w:rsidR="004E4138" w:rsidRPr="004E4138">
        <w:rPr>
          <w:rFonts w:eastAsiaTheme="minorEastAsia"/>
          <w:caps/>
          <w:spacing w:val="15"/>
        </w:rPr>
        <w:t>TH SEPTEMBER 2022</w:t>
      </w:r>
      <w:r>
        <w:rPr>
          <w:rFonts w:eastAsiaTheme="minorEastAsia"/>
          <w:caps/>
          <w:spacing w:val="15"/>
        </w:rPr>
        <w:br/>
      </w:r>
      <w:r>
        <w:rPr>
          <w:rFonts w:eastAsiaTheme="minorEastAsia"/>
        </w:rPr>
        <w:br/>
      </w:r>
      <w:r w:rsidRPr="00672A30">
        <w:rPr>
          <w:rFonts w:eastAsiaTheme="minorEastAsia"/>
        </w:rPr>
        <w:t xml:space="preserve">Question  How do COVID-19–associated hospitalization rates compare among adults who are </w:t>
      </w:r>
      <w:r w:rsidR="004E4138">
        <w:rPr>
          <w:rFonts w:eastAsiaTheme="minorEastAsia"/>
        </w:rPr>
        <w:br/>
        <w:t>…</w:t>
      </w:r>
      <w:r w:rsidR="004E4138" w:rsidRPr="004E4138">
        <w:rPr>
          <w:rFonts w:eastAsiaTheme="minorEastAsia"/>
        </w:rPr>
        <w:t>In the current issue of The Lancet Regional Health – Europe, Martin and colleagues2 report the results of a prospective observational study which compared the immunogenicity and clinical effectiveness of two doses of mRNA-based (BNT162b2) versus two doses of viral vector (ChAdOx1) SARS-CoV-2 vaccines within a large cohort of 1021 haemodialysis patients in the UK.</w:t>
      </w:r>
      <w:proofErr w:type="gramEnd"/>
      <w:r w:rsidR="004E4138" w:rsidRPr="004E4138">
        <w:rPr>
          <w:rFonts w:eastAsiaTheme="minorEastAsia"/>
        </w:rPr>
        <w:t xml:space="preserve"> </w:t>
      </w:r>
      <w:proofErr w:type="gramStart"/>
      <w:r w:rsidR="004E4138" w:rsidRPr="004E4138">
        <w:rPr>
          <w:rFonts w:eastAsiaTheme="minorEastAsia"/>
        </w:rPr>
        <w:t>523</w:t>
      </w:r>
      <w:proofErr w:type="gramEnd"/>
      <w:r w:rsidR="004E4138" w:rsidRPr="004E4138">
        <w:rPr>
          <w:rFonts w:eastAsiaTheme="minorEastAsia"/>
        </w:rPr>
        <w:t xml:space="preserve"> (51%) patients received BNT162b and 498 (49%) patients received ChAdOx1</w:t>
      </w:r>
      <w:r w:rsidR="004E4138">
        <w:rPr>
          <w:rFonts w:eastAsiaTheme="minorEastAsia"/>
        </w:rPr>
        <w:t>…</w:t>
      </w:r>
      <w:r w:rsidR="004E4138">
        <w:rPr>
          <w:rFonts w:eastAsiaTheme="minorEastAsia"/>
        </w:rPr>
        <w:br/>
      </w:r>
      <w:hyperlink r:id="rId31" w:history="1">
        <w:r w:rsidR="004E4138" w:rsidRPr="00184730">
          <w:rPr>
            <w:rStyle w:val="Hyperlink"/>
            <w:rFonts w:eastAsiaTheme="minorEastAsia"/>
          </w:rPr>
          <w:t>https://www.thelancet.com/journals/lanepe/article/PIIS2666-7762(22)00187-9/fulltext</w:t>
        </w:r>
      </w:hyperlink>
      <w:r w:rsidR="004E4138">
        <w:rPr>
          <w:rFonts w:eastAsiaTheme="minorEastAsia"/>
        </w:rPr>
        <w:t xml:space="preserve"> </w:t>
      </w:r>
    </w:p>
    <w:p w:rsidR="00AE392E" w:rsidRDefault="00AE392E" w:rsidP="0024067F">
      <w:pPr>
        <w:spacing w:before="200"/>
        <w:rPr>
          <w:rFonts w:eastAsiaTheme="minorEastAsia"/>
        </w:rPr>
      </w:pPr>
    </w:p>
    <w:p w:rsidR="00AE392E" w:rsidRDefault="00AE392E" w:rsidP="00AE392E">
      <w:pPr>
        <w:pBdr>
          <w:top w:val="single" w:sz="6" w:space="2" w:color="D4802C"/>
          <w:left w:val="single" w:sz="6" w:space="2" w:color="D4802C"/>
        </w:pBdr>
        <w:spacing w:before="300"/>
        <w:outlineLvl w:val="2"/>
        <w:rPr>
          <w:rFonts w:eastAsiaTheme="minorEastAsi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4E4138" w:rsidRPr="004E4138">
        <w:rPr>
          <w:rFonts w:eastAsiaTheme="minorEastAsia"/>
          <w:caps/>
          <w:spacing w:val="15"/>
        </w:rPr>
        <w:t>Vaccine-Induced Immune Thrombocytopenia and Thrombosis after the Sputnik V Vaccine</w:t>
      </w:r>
      <w:r>
        <w:rPr>
          <w:rFonts w:eastAsiaTheme="minorEastAsia"/>
          <w:caps/>
          <w:spacing w:val="15"/>
        </w:rPr>
        <w:br/>
      </w:r>
      <w:r>
        <w:rPr>
          <w:rFonts w:eastAsiaTheme="minorEastAsia"/>
          <w:caps/>
          <w:spacing w:val="15"/>
        </w:rPr>
        <w:br/>
      </w:r>
      <w:r w:rsidR="004E4138" w:rsidRPr="004E4138">
        <w:rPr>
          <w:rFonts w:eastAsiaTheme="minorEastAsia"/>
        </w:rPr>
        <w:t>NEW ENGLAND JOURNAL OF MEDICINE | 14TH SEPTEMBER 2022</w:t>
      </w:r>
      <w:r w:rsidR="004E4138">
        <w:rPr>
          <w:rFonts w:eastAsiaTheme="minorEastAsia"/>
        </w:rPr>
        <w:br/>
      </w:r>
      <w:r>
        <w:rPr>
          <w:rFonts w:eastAsiaTheme="minorEastAsia"/>
        </w:rPr>
        <w:br/>
      </w:r>
      <w:r w:rsidR="004E4138" w:rsidRPr="004E4138">
        <w:rPr>
          <w:rFonts w:eastAsiaTheme="minorEastAsia"/>
        </w:rPr>
        <w:t>As part of the Vigilance of Vaccines against Covid-19 (</w:t>
      </w:r>
      <w:proofErr w:type="spellStart"/>
      <w:r w:rsidR="004E4138" w:rsidRPr="004E4138">
        <w:rPr>
          <w:rFonts w:eastAsiaTheme="minorEastAsia"/>
        </w:rPr>
        <w:t>ViVa</w:t>
      </w:r>
      <w:proofErr w:type="spellEnd"/>
      <w:r w:rsidR="004E4138" w:rsidRPr="004E4138">
        <w:rPr>
          <w:rFonts w:eastAsiaTheme="minorEastAsia"/>
        </w:rPr>
        <w:t xml:space="preserve">) study, we collected detailed information regarding one case of VITT that was reported after the receipt of the Sputnik V vaccine at one Argentinian public vaccination </w:t>
      </w:r>
      <w:proofErr w:type="spellStart"/>
      <w:r w:rsidR="004E4138" w:rsidRPr="004E4138">
        <w:rPr>
          <w:rFonts w:eastAsiaTheme="minorEastAsia"/>
        </w:rPr>
        <w:t>center</w:t>
      </w:r>
      <w:proofErr w:type="spellEnd"/>
      <w:r w:rsidR="004E4138" w:rsidRPr="004E4138">
        <w:rPr>
          <w:rFonts w:eastAsiaTheme="minorEastAsia"/>
        </w:rPr>
        <w:t xml:space="preserve"> on July 15, 2021.</w:t>
      </w:r>
      <w:r w:rsidR="004E4138">
        <w:rPr>
          <w:rFonts w:eastAsiaTheme="minorEastAsia"/>
        </w:rPr>
        <w:br/>
      </w:r>
      <w:hyperlink r:id="rId32" w:history="1">
        <w:r w:rsidR="004E4138" w:rsidRPr="00184730">
          <w:rPr>
            <w:rStyle w:val="Hyperlink"/>
            <w:rFonts w:eastAsiaTheme="minorEastAsia"/>
          </w:rPr>
          <w:t>https://www.nejm.org/doi/full/10.1056/NEJMc2210813</w:t>
        </w:r>
      </w:hyperlink>
      <w:r w:rsidR="004E4138">
        <w:rPr>
          <w:rFonts w:eastAsiaTheme="minorEastAsia"/>
        </w:rPr>
        <w:t xml:space="preserve"> </w:t>
      </w:r>
    </w:p>
    <w:p w:rsidR="00AE392E" w:rsidRDefault="00AE392E" w:rsidP="0024067F">
      <w:pPr>
        <w:spacing w:before="200"/>
        <w:rPr>
          <w:rFonts w:eastAsiaTheme="minorEastAsia"/>
        </w:rPr>
      </w:pPr>
    </w:p>
    <w:p w:rsidR="001A1063" w:rsidRPr="001A1063" w:rsidRDefault="00AE392E" w:rsidP="001A1063">
      <w:pPr>
        <w:pBdr>
          <w:top w:val="single" w:sz="6" w:space="2" w:color="D4802C"/>
          <w:left w:val="single" w:sz="6" w:space="2" w:color="D4802C"/>
        </w:pBdr>
        <w:spacing w:before="300"/>
        <w:outlineLvl w:val="2"/>
        <w:rPr>
          <w:rFonts w:eastAsiaTheme="minorEastAsi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1A1063" w:rsidRPr="001A1063">
        <w:rPr>
          <w:rFonts w:eastAsiaTheme="minorEastAsia"/>
          <w:caps/>
          <w:spacing w:val="15"/>
        </w:rPr>
        <w:t>Acceptance of Different Self-sampling Methods for Semiweekly SARS-CoV-2 Testing in Asymptomatic Children and Childcare Workers at German Day Care Centers: A Nonrandomized Controlled Trial</w:t>
      </w:r>
      <w:r>
        <w:rPr>
          <w:rFonts w:eastAsiaTheme="minorEastAsia"/>
          <w:caps/>
          <w:spacing w:val="15"/>
        </w:rPr>
        <w:br/>
      </w:r>
      <w:r w:rsidR="001A1063">
        <w:rPr>
          <w:rFonts w:eastAsiaTheme="minorEastAsia"/>
          <w:caps/>
          <w:spacing w:val="15"/>
        </w:rPr>
        <w:br/>
        <w:t>JAMA | 15</w:t>
      </w:r>
      <w:r w:rsidRPr="00672A30">
        <w:rPr>
          <w:rFonts w:eastAsiaTheme="minorEastAsia"/>
          <w:caps/>
          <w:spacing w:val="15"/>
          <w:vertAlign w:val="superscript"/>
        </w:rPr>
        <w:t>th</w:t>
      </w:r>
      <w:r>
        <w:rPr>
          <w:rFonts w:eastAsiaTheme="minorEastAsia"/>
          <w:caps/>
          <w:spacing w:val="15"/>
        </w:rPr>
        <w:t xml:space="preserve"> september 2022</w:t>
      </w:r>
      <w:r>
        <w:rPr>
          <w:rFonts w:eastAsiaTheme="minorEastAsia"/>
          <w:caps/>
          <w:spacing w:val="15"/>
        </w:rPr>
        <w:br/>
      </w:r>
      <w:r>
        <w:rPr>
          <w:rFonts w:eastAsiaTheme="minorEastAsia"/>
        </w:rPr>
        <w:br/>
      </w:r>
      <w:r w:rsidR="001A1063">
        <w:rPr>
          <w:rFonts w:eastAsiaTheme="minorEastAsia"/>
        </w:rPr>
        <w:t>Q</w:t>
      </w:r>
      <w:r w:rsidR="001A1063" w:rsidRPr="001A1063">
        <w:rPr>
          <w:rFonts w:eastAsiaTheme="minorEastAsia"/>
        </w:rPr>
        <w:t xml:space="preserve">uestion  What is the acceptance and feasibility of different methods of twice weekly SARS-CoV-2 monitoring in asymptomatic children and childcare workers in day care </w:t>
      </w:r>
      <w:proofErr w:type="spellStart"/>
      <w:r w:rsidR="001A1063" w:rsidRPr="001A1063">
        <w:rPr>
          <w:rFonts w:eastAsiaTheme="minorEastAsia"/>
        </w:rPr>
        <w:t>centers</w:t>
      </w:r>
      <w:proofErr w:type="spellEnd"/>
      <w:r w:rsidR="001A1063" w:rsidRPr="001A1063">
        <w:rPr>
          <w:rFonts w:eastAsiaTheme="minorEastAsia"/>
        </w:rPr>
        <w:t>?</w:t>
      </w:r>
    </w:p>
    <w:p w:rsidR="001A1063" w:rsidRPr="001A1063" w:rsidRDefault="001A1063" w:rsidP="001A1063">
      <w:pPr>
        <w:pBdr>
          <w:top w:val="single" w:sz="6" w:space="2" w:color="D4802C"/>
          <w:left w:val="single" w:sz="6" w:space="2" w:color="D4802C"/>
        </w:pBdr>
        <w:spacing w:before="300"/>
        <w:outlineLvl w:val="2"/>
        <w:rPr>
          <w:rFonts w:eastAsiaTheme="minorEastAsia"/>
        </w:rPr>
      </w:pPr>
      <w:proofErr w:type="spellStart"/>
      <w:proofErr w:type="gramStart"/>
      <w:r w:rsidRPr="001A1063">
        <w:rPr>
          <w:rFonts w:eastAsiaTheme="minorEastAsia"/>
        </w:rPr>
        <w:t>Findings</w:t>
      </w:r>
      <w:proofErr w:type="spellEnd"/>
      <w:r w:rsidRPr="001A1063">
        <w:rPr>
          <w:rFonts w:eastAsiaTheme="minorEastAsia"/>
        </w:rPr>
        <w:t xml:space="preserve">  In this nonrandomized controlled trial and feasibility study with 452 children and 139 childcare workers, self-sampled surveillance testing via saliva sampling and/or nasal rapid antigen self-test for SARS-CoV-2 was well accepted and provided a high sense of safety.</w:t>
      </w:r>
      <w:proofErr w:type="gramEnd"/>
    </w:p>
    <w:p w:rsidR="00AE392E" w:rsidRDefault="001A1063" w:rsidP="001A1063">
      <w:pPr>
        <w:pBdr>
          <w:top w:val="single" w:sz="6" w:space="2" w:color="D4802C"/>
          <w:left w:val="single" w:sz="6" w:space="2" w:color="D4802C"/>
        </w:pBdr>
        <w:spacing w:before="300"/>
        <w:outlineLvl w:val="2"/>
        <w:rPr>
          <w:rFonts w:eastAsiaTheme="minorEastAsia"/>
        </w:rPr>
      </w:pPr>
      <w:proofErr w:type="gramStart"/>
      <w:r w:rsidRPr="001A1063">
        <w:rPr>
          <w:rFonts w:eastAsiaTheme="minorEastAsia"/>
        </w:rPr>
        <w:t>Meaning  These</w:t>
      </w:r>
      <w:proofErr w:type="gramEnd"/>
      <w:r w:rsidRPr="001A1063">
        <w:rPr>
          <w:rFonts w:eastAsiaTheme="minorEastAsia"/>
        </w:rPr>
        <w:t xml:space="preserve"> findings suggest that self-sampled continuous testing allowing continued day care for children should be established based on age-adjusted SARS-CoV-2 incidence rates.</w:t>
      </w:r>
      <w:r>
        <w:rPr>
          <w:rFonts w:eastAsiaTheme="minorEastAsia"/>
        </w:rPr>
        <w:br/>
      </w:r>
      <w:hyperlink r:id="rId33" w:history="1">
        <w:r w:rsidRPr="00184730">
          <w:rPr>
            <w:rStyle w:val="Hyperlink"/>
            <w:rFonts w:eastAsiaTheme="minorEastAsia"/>
          </w:rPr>
          <w:t>https://jamanetwork.com/journals/jamanetworkopen/fullarticle/2796275</w:t>
        </w:r>
      </w:hyperlink>
      <w:r>
        <w:rPr>
          <w:rFonts w:eastAsiaTheme="minorEastAsia"/>
        </w:rPr>
        <w:t xml:space="preserve"> </w:t>
      </w:r>
    </w:p>
    <w:p w:rsidR="003934AD" w:rsidRPr="003934AD" w:rsidRDefault="00AE392E" w:rsidP="003934AD">
      <w:pPr>
        <w:pBdr>
          <w:top w:val="single" w:sz="6" w:space="2" w:color="D4802C"/>
          <w:left w:val="single" w:sz="6" w:space="2" w:color="D4802C"/>
        </w:pBdr>
        <w:spacing w:before="300"/>
        <w:outlineLvl w:val="2"/>
        <w:rPr>
          <w:rFonts w:eastAsiaTheme="minorEastAsi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3934AD" w:rsidRPr="003934AD">
        <w:rPr>
          <w:rFonts w:eastAsiaTheme="minorEastAsia"/>
          <w:caps/>
          <w:spacing w:val="15"/>
        </w:rPr>
        <w:t>Persistence and Protective Potential of SARS-CoV-2 Antibody Levels After COVID-19 Vaccination in a West Virginia Nursing Home Cohort</w:t>
      </w:r>
      <w:r w:rsidR="003934AD">
        <w:rPr>
          <w:rFonts w:eastAsiaTheme="minorEastAsia"/>
          <w:caps/>
          <w:spacing w:val="15"/>
        </w:rPr>
        <w:br/>
      </w:r>
      <w:r w:rsidR="003934AD">
        <w:rPr>
          <w:rFonts w:eastAsiaTheme="minorEastAsia"/>
          <w:caps/>
          <w:spacing w:val="15"/>
        </w:rPr>
        <w:br/>
        <w:t>JAMA internal medicine | 13</w:t>
      </w:r>
      <w:r w:rsidRPr="00672A30">
        <w:rPr>
          <w:rFonts w:eastAsiaTheme="minorEastAsia"/>
          <w:caps/>
          <w:spacing w:val="15"/>
          <w:vertAlign w:val="superscript"/>
        </w:rPr>
        <w:t>th</w:t>
      </w:r>
      <w:r>
        <w:rPr>
          <w:rFonts w:eastAsiaTheme="minorEastAsia"/>
          <w:caps/>
          <w:spacing w:val="15"/>
        </w:rPr>
        <w:t xml:space="preserve"> september 2022</w:t>
      </w:r>
      <w:r>
        <w:rPr>
          <w:rFonts w:eastAsiaTheme="minorEastAsia"/>
          <w:caps/>
          <w:spacing w:val="15"/>
        </w:rPr>
        <w:br/>
      </w:r>
      <w:r>
        <w:rPr>
          <w:rFonts w:eastAsiaTheme="minorEastAsia"/>
        </w:rPr>
        <w:br/>
      </w:r>
      <w:r w:rsidR="003934AD" w:rsidRPr="003934AD">
        <w:rPr>
          <w:rFonts w:eastAsiaTheme="minorEastAsia"/>
        </w:rPr>
        <w:t>Question  What are the persistence and protective potential of SARS-CoV-2 antibody levels after vaccination in West Virginia nursing home residents and staff?</w:t>
      </w:r>
    </w:p>
    <w:p w:rsidR="003934AD" w:rsidRPr="003934AD" w:rsidRDefault="003934AD" w:rsidP="003934AD">
      <w:pPr>
        <w:pBdr>
          <w:top w:val="single" w:sz="6" w:space="2" w:color="D4802C"/>
          <w:left w:val="single" w:sz="6" w:space="2" w:color="D4802C"/>
        </w:pBdr>
        <w:spacing w:before="300"/>
        <w:outlineLvl w:val="2"/>
        <w:rPr>
          <w:rFonts w:eastAsiaTheme="minorEastAsia"/>
        </w:rPr>
      </w:pPr>
      <w:proofErr w:type="gramStart"/>
      <w:r w:rsidRPr="003934AD">
        <w:rPr>
          <w:rFonts w:eastAsiaTheme="minorEastAsia"/>
        </w:rPr>
        <w:t>Findings  In</w:t>
      </w:r>
      <w:proofErr w:type="gramEnd"/>
      <w:r w:rsidRPr="003934AD">
        <w:rPr>
          <w:rFonts w:eastAsiaTheme="minorEastAsia"/>
        </w:rPr>
        <w:t xml:space="preserve"> this cross-sectional study of 2139 participants from West Virginia nursing home facilities, antibody levels decreased with time after vaccination but were restored with booster doses. During the Delta surge, individuals experiencing breakthrough infection had significantly lower antibody levels, but no significant association </w:t>
      </w:r>
      <w:proofErr w:type="gramStart"/>
      <w:r w:rsidRPr="003934AD">
        <w:rPr>
          <w:rFonts w:eastAsiaTheme="minorEastAsia"/>
        </w:rPr>
        <w:t>was found</w:t>
      </w:r>
      <w:proofErr w:type="gramEnd"/>
      <w:r w:rsidRPr="003934AD">
        <w:rPr>
          <w:rFonts w:eastAsiaTheme="minorEastAsia"/>
        </w:rPr>
        <w:t xml:space="preserve"> between antibody level and infection observed during the Omicron surge.</w:t>
      </w:r>
    </w:p>
    <w:p w:rsidR="00AE392E" w:rsidRDefault="003934AD" w:rsidP="003934AD">
      <w:pPr>
        <w:pBdr>
          <w:top w:val="single" w:sz="6" w:space="2" w:color="D4802C"/>
          <w:left w:val="single" w:sz="6" w:space="2" w:color="D4802C"/>
        </w:pBdr>
        <w:spacing w:before="300"/>
        <w:outlineLvl w:val="2"/>
        <w:rPr>
          <w:rFonts w:eastAsiaTheme="minorEastAsia"/>
        </w:rPr>
      </w:pPr>
      <w:proofErr w:type="gramStart"/>
      <w:r w:rsidRPr="003934AD">
        <w:rPr>
          <w:rFonts w:eastAsiaTheme="minorEastAsia"/>
        </w:rPr>
        <w:t>Meaning  Although</w:t>
      </w:r>
      <w:proofErr w:type="gramEnd"/>
      <w:r w:rsidRPr="003934AD">
        <w:rPr>
          <w:rFonts w:eastAsiaTheme="minorEastAsia"/>
        </w:rPr>
        <w:t xml:space="preserve"> these findings support the recommendation of booster doses to augment waning antibody responses, data are not conclusive in providing an antibody correlate of protection against infection.</w:t>
      </w:r>
      <w:r>
        <w:rPr>
          <w:rFonts w:eastAsiaTheme="minorEastAsia"/>
        </w:rPr>
        <w:br/>
      </w:r>
      <w:hyperlink r:id="rId34" w:history="1">
        <w:r w:rsidRPr="00184730">
          <w:rPr>
            <w:rStyle w:val="Hyperlink"/>
            <w:rFonts w:eastAsiaTheme="minorEastAsia"/>
          </w:rPr>
          <w:t>https://jamanetwork.com/journals/jamanetworkopen/fullarticle/2796086</w:t>
        </w:r>
      </w:hyperlink>
      <w:r>
        <w:rPr>
          <w:rFonts w:eastAsiaTheme="minorEastAsia"/>
        </w:rPr>
        <w:t xml:space="preserve"> </w:t>
      </w:r>
    </w:p>
    <w:p w:rsidR="00AE392E" w:rsidRDefault="00AE392E" w:rsidP="0024067F">
      <w:pPr>
        <w:spacing w:before="200"/>
        <w:rPr>
          <w:rFonts w:eastAsiaTheme="minorEastAsia"/>
        </w:rPr>
      </w:pPr>
    </w:p>
    <w:p w:rsidR="003934AD" w:rsidRPr="003934AD" w:rsidRDefault="00AE392E" w:rsidP="003934AD">
      <w:pPr>
        <w:pBdr>
          <w:top w:val="single" w:sz="6" w:space="2" w:color="D4802C"/>
          <w:left w:val="single" w:sz="6" w:space="2" w:color="D4802C"/>
        </w:pBdr>
        <w:spacing w:before="300"/>
        <w:outlineLvl w:val="2"/>
        <w:rPr>
          <w:rFonts w:eastAsiaTheme="minorEastAsia"/>
        </w:rPr>
      </w:pPr>
      <w:proofErr w:type="gramStart"/>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3934AD" w:rsidRPr="003934AD">
        <w:rPr>
          <w:rFonts w:eastAsiaTheme="minorEastAsia"/>
          <w:caps/>
          <w:spacing w:val="15"/>
        </w:rPr>
        <w:t>Factors Associated With COVID-19 Vaccination Among Individuals With Vaccine Hesitancy in French-Speaking Belgium</w:t>
      </w:r>
      <w:r w:rsidR="003934AD">
        <w:rPr>
          <w:rFonts w:eastAsiaTheme="minorEastAsia"/>
          <w:caps/>
          <w:spacing w:val="15"/>
        </w:rPr>
        <w:br/>
      </w:r>
      <w:r w:rsidR="003934AD">
        <w:rPr>
          <w:rFonts w:eastAsiaTheme="minorEastAsia"/>
          <w:caps/>
          <w:spacing w:val="15"/>
        </w:rPr>
        <w:br/>
        <w:t>JAMA | 16</w:t>
      </w:r>
      <w:r w:rsidRPr="00672A30">
        <w:rPr>
          <w:rFonts w:eastAsiaTheme="minorEastAsia"/>
          <w:caps/>
          <w:spacing w:val="15"/>
          <w:vertAlign w:val="superscript"/>
        </w:rPr>
        <w:t>th</w:t>
      </w:r>
      <w:r>
        <w:rPr>
          <w:rFonts w:eastAsiaTheme="minorEastAsia"/>
          <w:caps/>
          <w:spacing w:val="15"/>
        </w:rPr>
        <w:t xml:space="preserve"> september 2022</w:t>
      </w:r>
      <w:r>
        <w:rPr>
          <w:rFonts w:eastAsiaTheme="minorEastAsia"/>
          <w:caps/>
          <w:spacing w:val="15"/>
        </w:rPr>
        <w:br/>
      </w:r>
      <w:r>
        <w:rPr>
          <w:rFonts w:eastAsiaTheme="minorEastAsia"/>
        </w:rPr>
        <w:br/>
      </w:r>
      <w:r w:rsidRPr="00672A30">
        <w:rPr>
          <w:rFonts w:eastAsiaTheme="minorEastAsia"/>
        </w:rPr>
        <w:t xml:space="preserve">Question  How do COVID-19–associated hospitalization rates compare among adults who are </w:t>
      </w:r>
      <w:r w:rsidR="003934AD">
        <w:rPr>
          <w:rFonts w:eastAsiaTheme="minorEastAsia"/>
        </w:rPr>
        <w:br/>
      </w:r>
      <w:r w:rsidR="003934AD" w:rsidRPr="003934AD">
        <w:rPr>
          <w:rFonts w:eastAsiaTheme="minorEastAsia"/>
        </w:rPr>
        <w:t>A significant portion of individuals with vaccine hesitancy got vaccinated for various reasons, mostly related to escaping governmental constraints, to moral pressure, and to a collective effort to end the pandemic.</w:t>
      </w:r>
      <w:proofErr w:type="gramEnd"/>
      <w:r w:rsidR="003934AD" w:rsidRPr="003934AD">
        <w:rPr>
          <w:rFonts w:eastAsiaTheme="minorEastAsia"/>
        </w:rPr>
        <w:t xml:space="preserve"> Importantly, individual protection against COVID-19 was not the main reported reason, </w:t>
      </w:r>
      <w:proofErr w:type="gramStart"/>
      <w:r w:rsidR="003934AD" w:rsidRPr="003934AD">
        <w:rPr>
          <w:rFonts w:eastAsiaTheme="minorEastAsia"/>
        </w:rPr>
        <w:t>as it was the case in the population of fully vaccinated people who were confident in the vaccine</w:t>
      </w:r>
      <w:proofErr w:type="gramEnd"/>
      <w:r w:rsidR="003934AD" w:rsidRPr="003934AD">
        <w:rPr>
          <w:rFonts w:eastAsiaTheme="minorEastAsia"/>
        </w:rPr>
        <w:t>. Age, gender, and education were associated with the reported reasons, suggesting the need to better tailor pandemic response strategies.</w:t>
      </w:r>
    </w:p>
    <w:p w:rsidR="00AE392E" w:rsidRDefault="003934AD" w:rsidP="003934AD">
      <w:pPr>
        <w:pBdr>
          <w:top w:val="single" w:sz="6" w:space="2" w:color="D4802C"/>
          <w:left w:val="single" w:sz="6" w:space="2" w:color="D4802C"/>
        </w:pBdr>
        <w:spacing w:before="300"/>
        <w:outlineLvl w:val="2"/>
        <w:rPr>
          <w:rFonts w:eastAsiaTheme="minorEastAsia"/>
        </w:rPr>
      </w:pPr>
      <w:r w:rsidRPr="003934AD">
        <w:rPr>
          <w:rFonts w:eastAsiaTheme="minorEastAsia"/>
        </w:rPr>
        <w:t xml:space="preserve">Many respondents referred to some form of disguised vaccine obligation. </w:t>
      </w:r>
      <w:proofErr w:type="gramStart"/>
      <w:r w:rsidRPr="003934AD">
        <w:rPr>
          <w:rFonts w:eastAsiaTheme="minorEastAsia"/>
        </w:rPr>
        <w:t>Collectively, negative emotions (guilt) and moral pressure from society appeared to be associated with vaccination willingness, as proposed by others.2,4 This suggests that government restrictions were somewhat effective in increasing vaccination willingness.3,5 Nevertheless, if the government strategy affected the motivation to vaccinate, it also generated socioemotional and ethical costs mainly related to a feeling of polarization of society among many of our respondents.</w:t>
      </w:r>
      <w:proofErr w:type="gramEnd"/>
      <w:r w:rsidRPr="003934AD">
        <w:rPr>
          <w:rFonts w:eastAsiaTheme="minorEastAsia"/>
        </w:rPr>
        <w:t xml:space="preserve"> Given that the sample </w:t>
      </w:r>
      <w:proofErr w:type="spellStart"/>
      <w:r w:rsidRPr="003934AD">
        <w:rPr>
          <w:rFonts w:eastAsiaTheme="minorEastAsia"/>
        </w:rPr>
        <w:t>analyzed</w:t>
      </w:r>
      <w:proofErr w:type="spellEnd"/>
      <w:r w:rsidRPr="003934AD">
        <w:rPr>
          <w:rFonts w:eastAsiaTheme="minorEastAsia"/>
        </w:rPr>
        <w:t xml:space="preserve"> was not representative of the population, the results </w:t>
      </w:r>
      <w:proofErr w:type="gramStart"/>
      <w:r w:rsidRPr="003934AD">
        <w:rPr>
          <w:rFonts w:eastAsiaTheme="minorEastAsia"/>
        </w:rPr>
        <w:t>must be interpreted</w:t>
      </w:r>
      <w:proofErr w:type="gramEnd"/>
      <w:r w:rsidRPr="003934AD">
        <w:rPr>
          <w:rFonts w:eastAsiaTheme="minorEastAsia"/>
        </w:rPr>
        <w:t xml:space="preserve"> with caution, which is an important limitation.</w:t>
      </w:r>
      <w:r>
        <w:rPr>
          <w:rFonts w:eastAsiaTheme="minorEastAsia"/>
        </w:rPr>
        <w:br/>
      </w:r>
      <w:hyperlink r:id="rId35" w:history="1">
        <w:r w:rsidRPr="00184730">
          <w:rPr>
            <w:rStyle w:val="Hyperlink"/>
            <w:rFonts w:eastAsiaTheme="minorEastAsia"/>
          </w:rPr>
          <w:t>https://jamanetwork.com/journals/jamanetworkopen/fullarticle/2796363</w:t>
        </w:r>
      </w:hyperlink>
      <w:r>
        <w:rPr>
          <w:rFonts w:eastAsiaTheme="minorEastAsia"/>
        </w:rPr>
        <w:t xml:space="preserve"> </w:t>
      </w:r>
    </w:p>
    <w:p w:rsidR="009C1F56" w:rsidRPr="00627D72" w:rsidRDefault="009C1F56" w:rsidP="009C1F56">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6" w:name="Workforce"/>
      <w:bookmarkEnd w:id="6"/>
      <w:r>
        <w:rPr>
          <w:rFonts w:ascii="Dotum" w:eastAsiaTheme="minorEastAsia" w:hAnsi="Dotum"/>
          <w:b/>
          <w:bCs/>
          <w:caps/>
          <w:color w:val="FFFFFF" w:themeColor="background1"/>
          <w:spacing w:val="15"/>
        </w:rPr>
        <w:t>workforce well-being</w:t>
      </w:r>
    </w:p>
    <w:p w:rsidR="009C1F56" w:rsidRDefault="009C1F56" w:rsidP="009C1F56">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b/>
          <w:spacing w:val="15"/>
        </w:rPr>
        <w:t>:</w:t>
      </w:r>
      <w:r w:rsidRPr="00A03FA9">
        <w:t xml:space="preserve"> </w:t>
      </w:r>
      <w:r w:rsidRPr="009C1F56">
        <w:t>FINDING A NEW MANTRA</w:t>
      </w:r>
    </w:p>
    <w:p w:rsidR="009C1F56" w:rsidRPr="00672A30" w:rsidRDefault="009C1F56" w:rsidP="009C1F56">
      <w:pPr>
        <w:pBdr>
          <w:top w:val="single" w:sz="6" w:space="2" w:color="D4802C"/>
          <w:left w:val="single" w:sz="6" w:space="2" w:color="D4802C"/>
        </w:pBdr>
        <w:spacing w:before="300"/>
        <w:outlineLvl w:val="2"/>
      </w:pPr>
      <w:r>
        <w:rPr>
          <w:rFonts w:eastAsiaTheme="minorEastAsia"/>
          <w:caps/>
          <w:spacing w:val="15"/>
        </w:rPr>
        <w:t xml:space="preserve">new england journal of medicine | </w:t>
      </w:r>
      <w:proofErr w:type="gramStart"/>
      <w:r>
        <w:rPr>
          <w:rFonts w:eastAsiaTheme="minorEastAsia"/>
          <w:caps/>
          <w:spacing w:val="15"/>
        </w:rPr>
        <w:t>15</w:t>
      </w:r>
      <w:r w:rsidRPr="00672A30">
        <w:rPr>
          <w:rFonts w:eastAsiaTheme="minorEastAsia"/>
          <w:caps/>
          <w:spacing w:val="15"/>
          <w:vertAlign w:val="superscript"/>
        </w:rPr>
        <w:t>th</w:t>
      </w:r>
      <w:r>
        <w:rPr>
          <w:rFonts w:eastAsiaTheme="minorEastAsia"/>
          <w:caps/>
          <w:spacing w:val="15"/>
        </w:rPr>
        <w:t xml:space="preserve">  SEPTEMBER</w:t>
      </w:r>
      <w:proofErr w:type="gramEnd"/>
      <w:r>
        <w:rPr>
          <w:rFonts w:eastAsiaTheme="minorEastAsia"/>
          <w:caps/>
          <w:spacing w:val="15"/>
        </w:rPr>
        <w:t xml:space="preserve"> 2022</w:t>
      </w:r>
      <w:r>
        <w:rPr>
          <w:rFonts w:eastAsiaTheme="minorEastAsia"/>
        </w:rPr>
        <w:br/>
      </w:r>
      <w:r w:rsidR="00E439D9">
        <w:br/>
        <w:t>…</w:t>
      </w:r>
      <w:r w:rsidR="00E439D9" w:rsidRPr="00E439D9">
        <w:t xml:space="preserve">We get so many messages in medicine that we should tough it out, push through. Licensing and credentialing forms often inappropriately ask if </w:t>
      </w:r>
      <w:proofErr w:type="gramStart"/>
      <w:r w:rsidR="00E439D9" w:rsidRPr="00E439D9">
        <w:t>we’ve</w:t>
      </w:r>
      <w:proofErr w:type="gramEnd"/>
      <w:r w:rsidR="00E439D9" w:rsidRPr="00E439D9">
        <w:t xml:space="preserve"> ever sought treatment for our mental health. I am angry about how much that stigma has damaged our workforce. Yet even as I brace for reactions to making myself vulnerable in such a public way, this is also true: a few months after starting medication, I felt like myself for the first time in more than a year. I no longer feel like </w:t>
      </w:r>
      <w:proofErr w:type="gramStart"/>
      <w:r w:rsidR="00E439D9" w:rsidRPr="00E439D9">
        <w:t>I’m</w:t>
      </w:r>
      <w:proofErr w:type="gramEnd"/>
      <w:r w:rsidR="00E439D9" w:rsidRPr="00E439D9">
        <w:t xml:space="preserve"> staring at the headlights coming toward me. I come home from the hospital with energy left for </w:t>
      </w:r>
      <w:proofErr w:type="gramStart"/>
      <w:r w:rsidR="00E439D9" w:rsidRPr="00E439D9">
        <w:t>myself and my family</w:t>
      </w:r>
      <w:proofErr w:type="gramEnd"/>
      <w:r w:rsidR="00E439D9" w:rsidRPr="00E439D9">
        <w:t xml:space="preserve">. I take days off when </w:t>
      </w:r>
      <w:proofErr w:type="gramStart"/>
      <w:r w:rsidR="00E439D9" w:rsidRPr="00E439D9">
        <w:t>I’m</w:t>
      </w:r>
      <w:proofErr w:type="gramEnd"/>
      <w:r w:rsidR="00E439D9" w:rsidRPr="00E439D9">
        <w:t xml:space="preserve"> not on call. I am writing, reading, </w:t>
      </w:r>
      <w:proofErr w:type="gramStart"/>
      <w:r w:rsidR="00E439D9" w:rsidRPr="00E439D9">
        <w:t>leading</w:t>
      </w:r>
      <w:proofErr w:type="gramEnd"/>
      <w:r w:rsidR="00E439D9" w:rsidRPr="00E439D9">
        <w:t xml:space="preserve"> creative workshops. </w:t>
      </w:r>
      <w:proofErr w:type="gramStart"/>
      <w:r w:rsidR="00E439D9" w:rsidRPr="00E439D9">
        <w:t>I have stepped into a new leadership role and am open with my team and trainees about the necessity of setting limits.</w:t>
      </w:r>
      <w:proofErr w:type="gramEnd"/>
      <w:r w:rsidR="00E439D9" w:rsidRPr="00E439D9">
        <w:t xml:space="preserve"> A year after making the decision to talk to my family and my doctor, I know that advocating for my own mental health was the best decision I could have made. I have a new mantra now, etched on a bracelet around my wrist: I am human.</w:t>
      </w:r>
      <w:r w:rsidR="00E439D9">
        <w:br/>
      </w:r>
      <w:hyperlink r:id="rId36" w:history="1">
        <w:r w:rsidR="00E439D9" w:rsidRPr="00184730">
          <w:rPr>
            <w:rStyle w:val="Hyperlink"/>
          </w:rPr>
          <w:t>https://www.nejm.org/doi/full/10.1056/NEJMp2206851</w:t>
        </w:r>
      </w:hyperlink>
      <w:r w:rsidR="00E439D9">
        <w:t xml:space="preserve"> </w:t>
      </w:r>
    </w:p>
    <w:p w:rsidR="009C1F56" w:rsidRDefault="009C1F56" w:rsidP="0024067F">
      <w:pPr>
        <w:spacing w:before="200"/>
        <w:rPr>
          <w:rFonts w:eastAsiaTheme="minorEastAsia"/>
        </w:rPr>
      </w:pPr>
    </w:p>
    <w:p w:rsidR="001A05D1" w:rsidRPr="00627D72" w:rsidRDefault="001A05D1" w:rsidP="001A05D1">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7" w:name="Recovery1"/>
      <w:bookmarkEnd w:id="7"/>
      <w:r>
        <w:rPr>
          <w:rFonts w:ascii="Dotum" w:eastAsiaTheme="minorEastAsia" w:hAnsi="Dotum"/>
          <w:b/>
          <w:bCs/>
          <w:caps/>
          <w:color w:val="FFFFFF" w:themeColor="background1"/>
          <w:spacing w:val="15"/>
        </w:rPr>
        <w:t>recovery</w:t>
      </w:r>
    </w:p>
    <w:p w:rsidR="007B6F1B" w:rsidRDefault="007B6F1B" w:rsidP="00671D5A">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Pr>
          <w:rFonts w:eastAsiaTheme="minorEastAsia"/>
          <w:caps/>
          <w:spacing w:val="15"/>
        </w:rPr>
        <w:t xml:space="preserve"> </w:t>
      </w:r>
      <w:r w:rsidR="005C65E4" w:rsidRPr="005C65E4">
        <w:rPr>
          <w:rFonts w:eastAsiaTheme="minorEastAsia"/>
          <w:caps/>
          <w:spacing w:val="15"/>
        </w:rPr>
        <w:t>Role of mathematical modelling in future pandemic response policy</w:t>
      </w:r>
    </w:p>
    <w:p w:rsidR="007F40E8" w:rsidRPr="007F40E8" w:rsidRDefault="00377D13" w:rsidP="007F40E8">
      <w:pPr>
        <w:pBdr>
          <w:top w:val="single" w:sz="6" w:space="2" w:color="D4802C"/>
          <w:left w:val="single" w:sz="6" w:space="2" w:color="D4802C"/>
        </w:pBdr>
        <w:spacing w:before="300"/>
        <w:outlineLvl w:val="2"/>
        <w:rPr>
          <w:rFonts w:cstheme="minorHAnsi"/>
          <w:color w:val="333333"/>
        </w:rPr>
      </w:pPr>
      <w:r>
        <w:rPr>
          <w:rFonts w:eastAsiaTheme="minorEastAsia"/>
          <w:caps/>
          <w:spacing w:val="15"/>
        </w:rPr>
        <w:t>bmj</w:t>
      </w:r>
      <w:r w:rsidR="00110376">
        <w:rPr>
          <w:rFonts w:eastAsiaTheme="minorEastAsia"/>
          <w:caps/>
          <w:spacing w:val="15"/>
        </w:rPr>
        <w:t xml:space="preserve"> </w:t>
      </w:r>
      <w:r w:rsidR="00105D86">
        <w:rPr>
          <w:rFonts w:eastAsiaTheme="minorEastAsia"/>
          <w:caps/>
          <w:spacing w:val="15"/>
        </w:rPr>
        <w:t>|</w:t>
      </w:r>
      <w:r w:rsidR="007F40E8">
        <w:rPr>
          <w:rFonts w:eastAsiaTheme="minorEastAsia"/>
          <w:caps/>
          <w:spacing w:val="15"/>
        </w:rPr>
        <w:t xml:space="preserve"> 16</w:t>
      </w:r>
      <w:r w:rsidR="0005026A" w:rsidRPr="0005026A">
        <w:rPr>
          <w:rFonts w:eastAsiaTheme="minorEastAsia"/>
          <w:caps/>
          <w:spacing w:val="15"/>
          <w:vertAlign w:val="superscript"/>
        </w:rPr>
        <w:t>th</w:t>
      </w:r>
      <w:r w:rsidR="0005026A">
        <w:rPr>
          <w:rFonts w:eastAsiaTheme="minorEastAsia"/>
          <w:caps/>
          <w:spacing w:val="15"/>
        </w:rPr>
        <w:t xml:space="preserve"> september</w:t>
      </w:r>
      <w:r>
        <w:rPr>
          <w:rFonts w:eastAsiaTheme="minorEastAsia"/>
          <w:caps/>
          <w:spacing w:val="15"/>
        </w:rPr>
        <w:t xml:space="preserve"> </w:t>
      </w:r>
      <w:r w:rsidR="007B6F1B">
        <w:rPr>
          <w:rFonts w:eastAsiaTheme="minorEastAsia"/>
          <w:caps/>
          <w:spacing w:val="15"/>
        </w:rPr>
        <w:t>2022</w:t>
      </w:r>
      <w:r w:rsidR="007B6F1B">
        <w:rPr>
          <w:rFonts w:eastAsiaTheme="minorEastAsia"/>
          <w:caps/>
          <w:spacing w:val="15"/>
        </w:rPr>
        <w:br/>
      </w:r>
      <w:r w:rsidR="007B6F1B">
        <w:rPr>
          <w:rFonts w:cstheme="minorHAnsi"/>
          <w:color w:val="333333"/>
        </w:rPr>
        <w:br/>
      </w:r>
      <w:r w:rsidR="007F40E8" w:rsidRPr="007F40E8">
        <w:rPr>
          <w:rFonts w:cstheme="minorHAnsi"/>
          <w:color w:val="333333"/>
        </w:rPr>
        <w:t xml:space="preserve">Christina </w:t>
      </w:r>
      <w:proofErr w:type="spellStart"/>
      <w:r w:rsidR="007F40E8" w:rsidRPr="007F40E8">
        <w:rPr>
          <w:rFonts w:cstheme="minorHAnsi"/>
          <w:color w:val="333333"/>
        </w:rPr>
        <w:t>Pagel</w:t>
      </w:r>
      <w:proofErr w:type="spellEnd"/>
      <w:r w:rsidR="007F40E8" w:rsidRPr="007F40E8">
        <w:rPr>
          <w:rFonts w:cstheme="minorHAnsi"/>
          <w:color w:val="333333"/>
        </w:rPr>
        <w:t xml:space="preserve"> and Christian Yates consider what the pandemic has taught us about mathematical modelling in the UK and how it can be used more effectively</w:t>
      </w:r>
    </w:p>
    <w:p w:rsidR="007F40E8" w:rsidRPr="007F40E8" w:rsidRDefault="007F40E8" w:rsidP="007F40E8">
      <w:pPr>
        <w:pBdr>
          <w:top w:val="single" w:sz="6" w:space="2" w:color="D4802C"/>
          <w:left w:val="single" w:sz="6" w:space="2" w:color="D4802C"/>
        </w:pBdr>
        <w:spacing w:before="300"/>
        <w:outlineLvl w:val="2"/>
        <w:rPr>
          <w:rFonts w:cstheme="minorHAnsi"/>
          <w:color w:val="333333"/>
        </w:rPr>
      </w:pPr>
      <w:r w:rsidRPr="007F40E8">
        <w:rPr>
          <w:rFonts w:cstheme="minorHAnsi"/>
          <w:color w:val="333333"/>
        </w:rPr>
        <w:t>Key messages</w:t>
      </w:r>
      <w:r>
        <w:rPr>
          <w:rFonts w:cstheme="minorHAnsi"/>
          <w:color w:val="333333"/>
        </w:rPr>
        <w:t>:</w:t>
      </w:r>
    </w:p>
    <w:p w:rsidR="007F40E8" w:rsidRPr="007F40E8" w:rsidRDefault="007F40E8" w:rsidP="007F40E8">
      <w:pPr>
        <w:pBdr>
          <w:top w:val="single" w:sz="6" w:space="2" w:color="D4802C"/>
          <w:left w:val="single" w:sz="6" w:space="2" w:color="D4802C"/>
        </w:pBdr>
        <w:spacing w:before="300"/>
        <w:outlineLvl w:val="2"/>
        <w:rPr>
          <w:rFonts w:cstheme="minorHAnsi"/>
          <w:color w:val="333333"/>
        </w:rPr>
      </w:pPr>
      <w:r w:rsidRPr="007F40E8">
        <w:rPr>
          <w:rFonts w:cstheme="minorHAnsi"/>
          <w:color w:val="333333"/>
        </w:rPr>
        <w:t>Mathematical modelling is intrinsically difficult given the complexity of relationships between parameters and difficulty quantifying those parameters</w:t>
      </w:r>
    </w:p>
    <w:p w:rsidR="007F40E8" w:rsidRPr="007F40E8" w:rsidRDefault="007F40E8" w:rsidP="007F40E8">
      <w:pPr>
        <w:pBdr>
          <w:top w:val="single" w:sz="6" w:space="2" w:color="D4802C"/>
          <w:left w:val="single" w:sz="6" w:space="2" w:color="D4802C"/>
        </w:pBdr>
        <w:spacing w:before="300"/>
        <w:outlineLvl w:val="2"/>
        <w:rPr>
          <w:rFonts w:cstheme="minorHAnsi"/>
          <w:color w:val="333333"/>
        </w:rPr>
      </w:pPr>
      <w:r w:rsidRPr="007F40E8">
        <w:rPr>
          <w:rFonts w:cstheme="minorHAnsi"/>
          <w:color w:val="333333"/>
        </w:rPr>
        <w:t>Modelling needs input from a much wider range of sources including domain experts</w:t>
      </w:r>
    </w:p>
    <w:p w:rsidR="007F40E8" w:rsidRPr="007F40E8" w:rsidRDefault="007F40E8" w:rsidP="007F40E8">
      <w:pPr>
        <w:pBdr>
          <w:top w:val="single" w:sz="6" w:space="2" w:color="D4802C"/>
          <w:left w:val="single" w:sz="6" w:space="2" w:color="D4802C"/>
        </w:pBdr>
        <w:spacing w:before="300"/>
        <w:outlineLvl w:val="2"/>
        <w:rPr>
          <w:rFonts w:cstheme="minorHAnsi"/>
          <w:color w:val="333333"/>
        </w:rPr>
      </w:pPr>
      <w:r w:rsidRPr="007F40E8">
        <w:rPr>
          <w:rFonts w:cstheme="minorHAnsi"/>
          <w:color w:val="333333"/>
        </w:rPr>
        <w:t xml:space="preserve">Data sharing and communication of results </w:t>
      </w:r>
      <w:proofErr w:type="gramStart"/>
      <w:r w:rsidRPr="007F40E8">
        <w:rPr>
          <w:rFonts w:cstheme="minorHAnsi"/>
          <w:color w:val="333333"/>
        </w:rPr>
        <w:t>could be improved</w:t>
      </w:r>
      <w:proofErr w:type="gramEnd"/>
    </w:p>
    <w:p w:rsidR="00C44296" w:rsidRDefault="007F40E8" w:rsidP="007F40E8">
      <w:pPr>
        <w:pBdr>
          <w:top w:val="single" w:sz="6" w:space="2" w:color="D4802C"/>
          <w:left w:val="single" w:sz="6" w:space="2" w:color="D4802C"/>
        </w:pBdr>
        <w:spacing w:before="300"/>
        <w:outlineLvl w:val="2"/>
        <w:rPr>
          <w:rFonts w:cstheme="minorHAnsi"/>
          <w:color w:val="333333"/>
        </w:rPr>
      </w:pPr>
      <w:r w:rsidRPr="007F40E8">
        <w:rPr>
          <w:rFonts w:cstheme="minorHAnsi"/>
          <w:color w:val="333333"/>
        </w:rPr>
        <w:t>Policy makers and the public often had poor understanding of key concepts such as exponential growth and the limitations of long-term forecasting</w:t>
      </w:r>
      <w:r>
        <w:rPr>
          <w:rFonts w:cstheme="minorHAnsi"/>
          <w:color w:val="333333"/>
        </w:rPr>
        <w:t>.</w:t>
      </w:r>
      <w:r>
        <w:rPr>
          <w:rFonts w:cstheme="minorHAnsi"/>
          <w:color w:val="333333"/>
        </w:rPr>
        <w:br/>
      </w:r>
      <w:hyperlink r:id="rId37" w:history="1">
        <w:r w:rsidRPr="00184730">
          <w:rPr>
            <w:rStyle w:val="Hyperlink"/>
            <w:rFonts w:cstheme="minorHAnsi"/>
          </w:rPr>
          <w:t>https://www.bmj.com/content/378/bmj.o2252</w:t>
        </w:r>
      </w:hyperlink>
      <w:r>
        <w:rPr>
          <w:rFonts w:cstheme="minorHAnsi"/>
          <w:color w:val="333333"/>
        </w:rPr>
        <w:t xml:space="preserve"> </w:t>
      </w:r>
    </w:p>
    <w:p w:rsidR="00626B19" w:rsidRDefault="00626B19" w:rsidP="00626B19">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7F40E8" w:rsidRPr="007F40E8">
        <w:rPr>
          <w:rFonts w:eastAsiaTheme="minorEastAsia"/>
          <w:caps/>
          <w:spacing w:val="15"/>
        </w:rPr>
        <w:t>Covid-19: Commission describes “massive global failures” of pandemic response</w:t>
      </w:r>
    </w:p>
    <w:p w:rsidR="007F40E8" w:rsidRDefault="007F40E8" w:rsidP="007F40E8">
      <w:pPr>
        <w:pBdr>
          <w:top w:val="single" w:sz="6" w:space="2" w:color="D4802C"/>
          <w:left w:val="single" w:sz="6" w:space="2" w:color="D4802C"/>
        </w:pBdr>
        <w:spacing w:before="300"/>
        <w:outlineLvl w:val="2"/>
      </w:pPr>
      <w:proofErr w:type="gramStart"/>
      <w:r>
        <w:rPr>
          <w:rFonts w:eastAsiaTheme="minorEastAsia"/>
          <w:caps/>
          <w:spacing w:val="15"/>
        </w:rPr>
        <w:t>BMJ</w:t>
      </w:r>
      <w:r w:rsidR="0005026A">
        <w:rPr>
          <w:rFonts w:eastAsiaTheme="minorEastAsia"/>
          <w:caps/>
          <w:spacing w:val="15"/>
        </w:rPr>
        <w:t>|</w:t>
      </w:r>
      <w:r>
        <w:rPr>
          <w:rFonts w:eastAsiaTheme="minorEastAsia"/>
          <w:caps/>
          <w:spacing w:val="15"/>
        </w:rPr>
        <w:t xml:space="preserve"> 1</w:t>
      </w:r>
      <w:r w:rsidR="0005026A">
        <w:rPr>
          <w:rFonts w:eastAsiaTheme="minorEastAsia"/>
          <w:caps/>
          <w:spacing w:val="15"/>
        </w:rPr>
        <w:t>4</w:t>
      </w:r>
      <w:r w:rsidR="0005026A" w:rsidRPr="0005026A">
        <w:rPr>
          <w:rFonts w:eastAsiaTheme="minorEastAsia"/>
          <w:caps/>
          <w:spacing w:val="15"/>
          <w:vertAlign w:val="superscript"/>
        </w:rPr>
        <w:t>th</w:t>
      </w:r>
      <w:r w:rsidR="0005026A">
        <w:rPr>
          <w:rFonts w:eastAsiaTheme="minorEastAsia"/>
          <w:caps/>
          <w:spacing w:val="15"/>
        </w:rPr>
        <w:t xml:space="preserve"> september</w:t>
      </w:r>
      <w:r w:rsidR="00921918">
        <w:rPr>
          <w:rFonts w:eastAsiaTheme="minorEastAsia"/>
          <w:caps/>
          <w:spacing w:val="15"/>
        </w:rPr>
        <w:t xml:space="preserve"> </w:t>
      </w:r>
      <w:r w:rsidR="00626B19">
        <w:rPr>
          <w:rFonts w:eastAsiaTheme="minorEastAsia"/>
          <w:caps/>
          <w:spacing w:val="15"/>
        </w:rPr>
        <w:t>2022</w:t>
      </w:r>
      <w:r w:rsidR="00626B19">
        <w:rPr>
          <w:rFonts w:eastAsiaTheme="minorEastAsia"/>
          <w:caps/>
          <w:spacing w:val="15"/>
        </w:rPr>
        <w:br/>
      </w:r>
      <w:r w:rsidR="00626B19">
        <w:br/>
      </w:r>
      <w:r>
        <w:t>The global response to the first two years of the covid-19 outbreak failed to control a pandemic that has led to an estimated 17.7 million deaths to date</w:t>
      </w:r>
      <w:proofErr w:type="gramEnd"/>
      <w:r>
        <w:t xml:space="preserve">, </w:t>
      </w:r>
      <w:proofErr w:type="gramStart"/>
      <w:r>
        <w:t>a major review has concluded.1</w:t>
      </w:r>
      <w:proofErr w:type="gramEnd"/>
    </w:p>
    <w:p w:rsidR="007F40E8" w:rsidRDefault="007F40E8" w:rsidP="007F40E8">
      <w:pPr>
        <w:pBdr>
          <w:top w:val="single" w:sz="6" w:space="2" w:color="D4802C"/>
          <w:left w:val="single" w:sz="6" w:space="2" w:color="D4802C"/>
        </w:pBdr>
        <w:spacing w:before="300"/>
        <w:outlineLvl w:val="2"/>
      </w:pPr>
      <w:r>
        <w:t>The Lancet Commission on lessons for the future from the covid-19 pandemic, produced by 28 world leading experts and 100 contributors, cites widespread failures regarding prevention, transparency, rationality, standard public health practice, operational coordination, and global solidarity. It concludes that multilateral cooperation must improve to end the pandemic and manage future global health threats effectively.</w:t>
      </w:r>
    </w:p>
    <w:p w:rsidR="007F40E8" w:rsidRDefault="007F40E8" w:rsidP="007F40E8">
      <w:pPr>
        <w:pBdr>
          <w:top w:val="single" w:sz="6" w:space="2" w:color="D4802C"/>
          <w:left w:val="single" w:sz="6" w:space="2" w:color="D4802C"/>
        </w:pBdr>
        <w:spacing w:before="300"/>
        <w:outlineLvl w:val="2"/>
      </w:pPr>
      <w:r>
        <w:t>The commission’s chair, Jeffrey Sachs, who is a professor at Columbia University and president of the Sustainable Development Solutions Network, said, “The staggering human toll of the first two years of the covid-19 pandemic is a profound tragedy and a massive societal failure at multiple levels.”</w:t>
      </w:r>
    </w:p>
    <w:p w:rsidR="00626B19" w:rsidRDefault="007F40E8" w:rsidP="007F40E8">
      <w:pPr>
        <w:pBdr>
          <w:top w:val="single" w:sz="6" w:space="2" w:color="D4802C"/>
          <w:left w:val="single" w:sz="6" w:space="2" w:color="D4802C"/>
        </w:pBdr>
        <w:spacing w:before="300"/>
        <w:outlineLvl w:val="2"/>
      </w:pPr>
      <w:r>
        <w:t>In its report, which used data from the first two years of the pandemic and new epidemiological and financial analyses, the commission concludes that government responses lacked preparedness, were too slow, paid too little attention to vulnerable groups, and were hampered by misinformation.</w:t>
      </w:r>
      <w:r w:rsidR="0005026A">
        <w:br/>
      </w:r>
      <w:hyperlink r:id="rId38" w:history="1">
        <w:r w:rsidRPr="00184730">
          <w:rPr>
            <w:rStyle w:val="Hyperlink"/>
          </w:rPr>
          <w:t>https://www.bmj.com/content/378/bmj.o2237</w:t>
        </w:r>
      </w:hyperlink>
      <w:r>
        <w:t xml:space="preserve"> </w:t>
      </w:r>
    </w:p>
    <w:p w:rsidR="00626B19" w:rsidRDefault="00626B19"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E20A02" w:rsidRPr="00921918" w:rsidRDefault="00E20A02" w:rsidP="00E20A02">
      <w:pPr>
        <w:pBdr>
          <w:top w:val="single" w:sz="6" w:space="2" w:color="D4802C"/>
          <w:left w:val="single" w:sz="6" w:space="2" w:color="D4802C"/>
        </w:pBdr>
        <w:spacing w:before="300"/>
        <w:outlineLvl w:val="2"/>
        <w:rPr>
          <w:rFonts w:eastAsiaTheme="minorEastAsia"/>
          <w:caps/>
          <w:spacing w:val="15"/>
        </w:rPr>
      </w:pPr>
      <w:r w:rsidRPr="00921918">
        <w:rPr>
          <w:rFonts w:eastAsiaTheme="minorEastAsia"/>
          <w:caps/>
          <w:spacing w:val="15"/>
        </w:rPr>
        <w:t>title</w:t>
      </w:r>
      <w:r w:rsidR="002F6936" w:rsidRPr="00921918">
        <w:rPr>
          <w:rFonts w:eastAsiaTheme="minorEastAsia"/>
          <w:caps/>
          <w:spacing w:val="15"/>
        </w:rPr>
        <w:t>:</w:t>
      </w:r>
      <w:r w:rsidR="00921918" w:rsidRPr="00921918">
        <w:t xml:space="preserve"> </w:t>
      </w:r>
      <w:r w:rsidR="007F40E8" w:rsidRPr="007F40E8">
        <w:t>THE LANCET COMMISSION ON LESSONS FOR THE FUTURE FROM THE COVID-19 PANDEMIC</w:t>
      </w:r>
    </w:p>
    <w:p w:rsidR="007F40E8" w:rsidRPr="007F40E8" w:rsidRDefault="007F40E8" w:rsidP="007F40E8">
      <w:pPr>
        <w:pBdr>
          <w:top w:val="single" w:sz="6" w:space="2" w:color="D4802C"/>
          <w:left w:val="single" w:sz="6" w:space="2" w:color="D4802C"/>
        </w:pBdr>
        <w:spacing w:before="300"/>
        <w:outlineLvl w:val="2"/>
        <w:rPr>
          <w:rFonts w:cstheme="minorHAnsi"/>
          <w:color w:val="333333"/>
        </w:rPr>
      </w:pPr>
      <w:proofErr w:type="gramStart"/>
      <w:r>
        <w:rPr>
          <w:rFonts w:eastAsiaTheme="minorEastAsia"/>
          <w:caps/>
          <w:spacing w:val="15"/>
        </w:rPr>
        <w:t>the lancet | 14</w:t>
      </w:r>
      <w:r w:rsidR="0005026A" w:rsidRPr="0005026A">
        <w:rPr>
          <w:rFonts w:eastAsiaTheme="minorEastAsia"/>
          <w:caps/>
          <w:spacing w:val="15"/>
          <w:vertAlign w:val="superscript"/>
        </w:rPr>
        <w:t>th</w:t>
      </w:r>
      <w:r w:rsidR="0005026A">
        <w:rPr>
          <w:rFonts w:eastAsiaTheme="minorEastAsia"/>
          <w:caps/>
          <w:spacing w:val="15"/>
        </w:rPr>
        <w:t xml:space="preserve"> september</w:t>
      </w:r>
      <w:r w:rsidR="00921918" w:rsidRPr="00921918">
        <w:rPr>
          <w:rFonts w:eastAsiaTheme="minorEastAsia"/>
          <w:caps/>
          <w:spacing w:val="15"/>
        </w:rPr>
        <w:t xml:space="preserve"> 2022</w:t>
      </w:r>
      <w:r w:rsidR="00E20A02">
        <w:rPr>
          <w:rFonts w:eastAsiaTheme="minorEastAsia"/>
          <w:caps/>
          <w:spacing w:val="15"/>
        </w:rPr>
        <w:br/>
      </w:r>
      <w:r w:rsidR="00E20A02">
        <w:rPr>
          <w:rFonts w:cstheme="minorHAnsi"/>
          <w:color w:val="333333"/>
        </w:rPr>
        <w:br/>
      </w:r>
      <w:r w:rsidRPr="007F40E8">
        <w:rPr>
          <w:rFonts w:cstheme="minorHAnsi"/>
          <w:color w:val="333333"/>
        </w:rPr>
        <w:t>As of May 31, 2022, there were 6·9 million reported deaths and 17·2 million estimated deaths from COVID-19, as reported by the Institute for Health Metrics and Evaluation (IHME; throughout the report, we rely on IHME estimates of infections and deaths; note that the IHME gives an estimated range, and we refer to the mean estimate).</w:t>
      </w:r>
      <w:proofErr w:type="gramEnd"/>
      <w:r w:rsidRPr="007F40E8">
        <w:rPr>
          <w:rFonts w:cstheme="minorHAnsi"/>
          <w:color w:val="333333"/>
        </w:rPr>
        <w:t xml:space="preserve"> This staggering death toll is both a profound tragedy and a massive global failure at multiple levels. Too many governments have failed to adhere to basic norms of institutional rationality and transparency, too many people—often influenced by misinformation—have disrespected and protested against basic public health precautions, and the world's major powers have failed to collaborate to control the pandemic.</w:t>
      </w:r>
    </w:p>
    <w:p w:rsidR="007F40E8" w:rsidRPr="007F40E8" w:rsidRDefault="007F40E8" w:rsidP="007F40E8">
      <w:pPr>
        <w:pBdr>
          <w:top w:val="single" w:sz="6" w:space="2" w:color="D4802C"/>
          <w:left w:val="single" w:sz="6" w:space="2" w:color="D4802C"/>
        </w:pBdr>
        <w:spacing w:before="300"/>
        <w:outlineLvl w:val="2"/>
        <w:rPr>
          <w:rFonts w:cstheme="minorHAnsi"/>
          <w:color w:val="333333"/>
        </w:rPr>
      </w:pPr>
      <w:proofErr w:type="gramStart"/>
      <w:r w:rsidRPr="007F40E8">
        <w:rPr>
          <w:rFonts w:cstheme="minorHAnsi"/>
          <w:color w:val="333333"/>
        </w:rPr>
        <w:t xml:space="preserve">The multiple failures of international cooperation include (1) the lack of timely notification of the initial outbreak of COVID-19; (2) costly delays in acknowledging the crucial airborne exposure pathway of SARS-CoV-2, the virus that causes COVID-19, and in implementing appropriate measures at national and global levels to slow the spread of the virus; (3) the lack of coordination among countries regarding suppression strategies; (4) the failure of governments to examine evidence and adopt best practices for controlling the pandemic and managing economic and social </w:t>
      </w:r>
      <w:proofErr w:type="spellStart"/>
      <w:r w:rsidRPr="007F40E8">
        <w:rPr>
          <w:rFonts w:cstheme="minorHAnsi"/>
          <w:color w:val="333333"/>
        </w:rPr>
        <w:t>spillovers</w:t>
      </w:r>
      <w:proofErr w:type="spellEnd"/>
      <w:r w:rsidRPr="007F40E8">
        <w:rPr>
          <w:rFonts w:cstheme="minorHAnsi"/>
          <w:color w:val="333333"/>
        </w:rPr>
        <w:t xml:space="preserve"> from other countries; (5) the shortfall of global funding for low-income and middle-income countries (LMICs), as classified by the World Bank; (6) the failure to ensure adequate global supplies and equitable distribution of key commodities—including protective gear, diagnostics, medicines, medical devices, and vaccines—especially for LMICs; (7) the lack of timely, accurate, and systematic data on infections, deaths, viral variants, health system responses, and indirect health consequences; (8) the poor enforcement of appropriate levels of biosafety regulations in the lead-up to the pandemic, raising the possibility of a laboratory-related outbreak; (9) the failure to combat systematic disinformation; and (10) the lack of global and national safety nets to protect populations experiencing vulnerability.</w:t>
      </w:r>
      <w:proofErr w:type="gramEnd"/>
    </w:p>
    <w:p w:rsidR="00E20A02" w:rsidRPr="00A250DD" w:rsidRDefault="007F40E8" w:rsidP="007F40E8">
      <w:pPr>
        <w:pBdr>
          <w:top w:val="single" w:sz="6" w:space="2" w:color="D4802C"/>
          <w:left w:val="single" w:sz="6" w:space="2" w:color="D4802C"/>
        </w:pBdr>
        <w:spacing w:before="300"/>
        <w:outlineLvl w:val="2"/>
        <w:rPr>
          <w:rFonts w:cstheme="minorHAnsi"/>
          <w:color w:val="333333"/>
        </w:rPr>
      </w:pPr>
      <w:r w:rsidRPr="007F40E8">
        <w:rPr>
          <w:rFonts w:cstheme="minorHAnsi"/>
          <w:color w:val="333333"/>
        </w:rPr>
        <w:t>This Commission report aims to contribute to a new era of multilateral cooperation based on strong UN institutions to reduce the dangers of COVID-19, forestall the next pandemic, and enable the world to achieve the agreed goals of sustainable development, human rights, and peace that governments are committed to pursue as members of the UN.</w:t>
      </w:r>
      <w:r>
        <w:rPr>
          <w:rFonts w:cstheme="minorHAnsi"/>
          <w:color w:val="333333"/>
        </w:rPr>
        <w:br/>
      </w:r>
      <w:hyperlink r:id="rId39" w:history="1">
        <w:r w:rsidRPr="00184730">
          <w:rPr>
            <w:rStyle w:val="Hyperlink"/>
            <w:rFonts w:cstheme="minorHAnsi"/>
          </w:rPr>
          <w:t>https://www.thelancet.com/journals/lancet/article/PIIS0140-6736(22)01585-9/fulltext</w:t>
        </w:r>
      </w:hyperlink>
      <w:r>
        <w:rPr>
          <w:rFonts w:cstheme="minorHAnsi"/>
          <w:color w:val="333333"/>
        </w:rPr>
        <w:t xml:space="preserve"> </w:t>
      </w:r>
      <w:r>
        <w:rPr>
          <w:rFonts w:cstheme="minorHAnsi"/>
          <w:color w:val="333333"/>
        </w:rPr>
        <w:br/>
        <w:t xml:space="preserve">Linked editorial: </w:t>
      </w:r>
      <w:hyperlink r:id="rId40" w:history="1">
        <w:r w:rsidRPr="007F40E8">
          <w:rPr>
            <w:rStyle w:val="Hyperlink"/>
            <w:rFonts w:cstheme="minorHAnsi"/>
          </w:rPr>
          <w:t xml:space="preserve">COVID-19: the case for </w:t>
        </w:r>
        <w:proofErr w:type="spellStart"/>
        <w:r w:rsidRPr="007F40E8">
          <w:rPr>
            <w:rStyle w:val="Hyperlink"/>
            <w:rFonts w:cstheme="minorHAnsi"/>
          </w:rPr>
          <w:t>prosociality</w:t>
        </w:r>
        <w:proofErr w:type="spellEnd"/>
      </w:hyperlink>
    </w:p>
    <w:p w:rsidR="00E20A02" w:rsidRDefault="00E20A02"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424435" w:rsidRPr="00627D72" w:rsidRDefault="00424435" w:rsidP="00424435">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8" w:name="Public"/>
      <w:bookmarkEnd w:id="8"/>
      <w:r>
        <w:rPr>
          <w:rFonts w:ascii="Dotum" w:eastAsiaTheme="minorEastAsia" w:hAnsi="Dotum"/>
          <w:b/>
          <w:bCs/>
          <w:caps/>
          <w:color w:val="FFFFFF" w:themeColor="background1"/>
          <w:spacing w:val="15"/>
        </w:rPr>
        <w:t>public health</w:t>
      </w:r>
      <w:r w:rsidR="00A87CA4">
        <w:rPr>
          <w:rFonts w:ascii="Dotum" w:eastAsiaTheme="minorEastAsia" w:hAnsi="Dotum"/>
          <w:b/>
          <w:bCs/>
          <w:caps/>
          <w:color w:val="FFFFFF" w:themeColor="background1"/>
          <w:spacing w:val="15"/>
        </w:rPr>
        <w:t xml:space="preserve"> &amp; health inequalities</w:t>
      </w:r>
    </w:p>
    <w:p w:rsidR="003E3462" w:rsidRDefault="003E3462" w:rsidP="003E3462">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256A42" w:rsidRPr="00256A42">
        <w:rPr>
          <w:rFonts w:eastAsiaTheme="minorEastAsia"/>
          <w:caps/>
          <w:spacing w:val="15"/>
        </w:rPr>
        <w:t>Declining US life expectancy since covid-19—structural inequities foreshadow future fallout</w:t>
      </w:r>
    </w:p>
    <w:p w:rsidR="00256A42" w:rsidRDefault="00256A42" w:rsidP="00256A42">
      <w:pPr>
        <w:pBdr>
          <w:top w:val="single" w:sz="6" w:space="2" w:color="D4802C"/>
          <w:left w:val="single" w:sz="6" w:space="2" w:color="D4802C"/>
        </w:pBdr>
        <w:spacing w:before="300"/>
        <w:outlineLvl w:val="2"/>
      </w:pPr>
      <w:r>
        <w:rPr>
          <w:rFonts w:eastAsiaTheme="minorEastAsia"/>
          <w:caps/>
          <w:spacing w:val="15"/>
        </w:rPr>
        <w:t xml:space="preserve">BMJ </w:t>
      </w:r>
      <w:r w:rsidR="00334E8D" w:rsidRPr="00334E8D">
        <w:rPr>
          <w:rFonts w:eastAsiaTheme="minorEastAsia"/>
          <w:caps/>
          <w:spacing w:val="15"/>
        </w:rPr>
        <w:t xml:space="preserve">| </w:t>
      </w:r>
      <w:r>
        <w:rPr>
          <w:rFonts w:eastAsiaTheme="minorEastAsia"/>
          <w:caps/>
          <w:spacing w:val="15"/>
        </w:rPr>
        <w:t>1</w:t>
      </w:r>
      <w:r w:rsidR="00334E8D">
        <w:rPr>
          <w:rFonts w:eastAsiaTheme="minorEastAsia"/>
          <w:caps/>
          <w:spacing w:val="15"/>
        </w:rPr>
        <w:t>6</w:t>
      </w:r>
      <w:r w:rsidR="00334E8D" w:rsidRPr="00334E8D">
        <w:rPr>
          <w:rFonts w:eastAsiaTheme="minorEastAsia"/>
          <w:caps/>
          <w:spacing w:val="15"/>
          <w:vertAlign w:val="superscript"/>
        </w:rPr>
        <w:t>th</w:t>
      </w:r>
      <w:r w:rsidR="00334E8D">
        <w:rPr>
          <w:rFonts w:eastAsiaTheme="minorEastAsia"/>
          <w:caps/>
          <w:spacing w:val="15"/>
        </w:rPr>
        <w:t xml:space="preserve"> </w:t>
      </w:r>
      <w:r w:rsidR="00334E8D" w:rsidRPr="00334E8D">
        <w:rPr>
          <w:rFonts w:eastAsiaTheme="minorEastAsia"/>
          <w:caps/>
          <w:spacing w:val="15"/>
        </w:rPr>
        <w:t>SEPTEMBER 2022</w:t>
      </w:r>
      <w:r w:rsidR="003E3462">
        <w:rPr>
          <w:rFonts w:eastAsiaTheme="minorEastAsia"/>
          <w:caps/>
          <w:spacing w:val="15"/>
        </w:rPr>
        <w:br/>
      </w:r>
      <w:r w:rsidR="00377D13">
        <w:br/>
      </w:r>
      <w:r>
        <w:t xml:space="preserve">The latest data on US life expectancy form part of a larger pattern of languishing population health, say Grace </w:t>
      </w:r>
      <w:proofErr w:type="spellStart"/>
      <w:r>
        <w:t>Noppert</w:t>
      </w:r>
      <w:proofErr w:type="spellEnd"/>
      <w:r>
        <w:t xml:space="preserve"> and colleagues</w:t>
      </w:r>
    </w:p>
    <w:p w:rsidR="00256A42" w:rsidRDefault="00256A42" w:rsidP="00256A42">
      <w:pPr>
        <w:pBdr>
          <w:top w:val="single" w:sz="6" w:space="2" w:color="D4802C"/>
          <w:left w:val="single" w:sz="6" w:space="2" w:color="D4802C"/>
        </w:pBdr>
        <w:spacing w:before="300"/>
        <w:outlineLvl w:val="2"/>
      </w:pPr>
      <w:r>
        <w:t xml:space="preserve">In August 2022, the US </w:t>
      </w:r>
      <w:proofErr w:type="spellStart"/>
      <w:r>
        <w:t>Centers</w:t>
      </w:r>
      <w:proofErr w:type="spellEnd"/>
      <w:r>
        <w:t xml:space="preserve"> for Disease Control and Prevention (CDC) released a report showing how life expectancy for the US population had fallen for the second consecutive year.1 </w:t>
      </w:r>
      <w:proofErr w:type="gramStart"/>
      <w:r>
        <w:t>The</w:t>
      </w:r>
      <w:proofErr w:type="gramEnd"/>
      <w:r>
        <w:t xml:space="preserve"> declines are alarming, but they are not surprising.</w:t>
      </w:r>
    </w:p>
    <w:p w:rsidR="00256A42" w:rsidRDefault="00256A42" w:rsidP="00256A42">
      <w:pPr>
        <w:pBdr>
          <w:top w:val="single" w:sz="6" w:space="2" w:color="D4802C"/>
          <w:left w:val="single" w:sz="6" w:space="2" w:color="D4802C"/>
        </w:pBdr>
        <w:spacing w:before="300"/>
        <w:outlineLvl w:val="2"/>
      </w:pPr>
      <w:r>
        <w:t xml:space="preserve">Life expectancy is both an indicator of the current health of a population and a harbinger of what might come. For social epidemiologists, the latest CDC data provide real time evidence of the power and pervasiveness of structural influences on health. These forces systematically place people from certain populations at higher risk of infectious diseases, while providing them with fewer resources to mitigate the negative </w:t>
      </w:r>
      <w:proofErr w:type="gramStart"/>
      <w:r>
        <w:t>long term</w:t>
      </w:r>
      <w:proofErr w:type="gramEnd"/>
      <w:r>
        <w:t xml:space="preserve"> social, economic, and health consequences arising from illness.</w:t>
      </w:r>
    </w:p>
    <w:p w:rsidR="003E3462" w:rsidRDefault="00256A42" w:rsidP="00256A42">
      <w:pPr>
        <w:pBdr>
          <w:top w:val="single" w:sz="6" w:space="2" w:color="D4802C"/>
          <w:left w:val="single" w:sz="6" w:space="2" w:color="D4802C"/>
        </w:pBdr>
        <w:spacing w:before="300"/>
        <w:outlineLvl w:val="2"/>
      </w:pPr>
      <w:r>
        <w:t xml:space="preserve">In 2021, US life expectancy stood at 76.1 years, declining by 0.9 years since 2020 and by 2.7 years since 2019. These new data show how drops in life expectancy have had the most severe effect on people from historically marginalised groups. </w:t>
      </w:r>
      <w:proofErr w:type="gramStart"/>
      <w:r>
        <w:t>The American Indian or Alaskan Native population experienced the greatest decline, with life expectancy at birth falling from 67.1 years in 2020 to 65.2 years in 2021, which is equivalent to the life expectancy for the overall US population in 1944.1 The largest contributor to these reductions in life expectancy was an increasing number of deaths from covid-19, followed closely by unintentional injuries, which largely comprised drug overdose deaths.</w:t>
      </w:r>
      <w:proofErr w:type="gramEnd"/>
      <w:r>
        <w:t xml:space="preserve"> These trends not only reflect the extraordinary and inequitable loss of life caused by covid-19, but also the stress and despair left in the pandemic’s wake…</w:t>
      </w:r>
      <w:r>
        <w:br/>
      </w:r>
      <w:hyperlink r:id="rId41" w:history="1">
        <w:r w:rsidRPr="00184730">
          <w:rPr>
            <w:rStyle w:val="Hyperlink"/>
          </w:rPr>
          <w:t>https://www.bmj.com/content/378/bmj.o2249</w:t>
        </w:r>
      </w:hyperlink>
      <w:r>
        <w:t xml:space="preserve"> </w:t>
      </w:r>
      <w:r w:rsidR="00334E8D">
        <w:br/>
      </w:r>
      <w:hyperlink r:id="rId42" w:history="1">
        <w:r w:rsidR="00334E8D" w:rsidRPr="00021910">
          <w:rPr>
            <w:rStyle w:val="Hyperlink"/>
          </w:rPr>
          <w:t>https://jamanetwork.com/journals/jamapediatrics/fullarticle/2795650</w:t>
        </w:r>
      </w:hyperlink>
      <w:r w:rsidR="00334E8D">
        <w:t xml:space="preserve"> </w:t>
      </w:r>
    </w:p>
    <w:p w:rsidR="003E3462" w:rsidRDefault="003E3462"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E92671" w:rsidRDefault="00E92671" w:rsidP="00E92671">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256A42" w:rsidRPr="00256A42">
        <w:rPr>
          <w:rFonts w:eastAsiaTheme="minorEastAsia"/>
          <w:caps/>
          <w:spacing w:val="15"/>
        </w:rPr>
        <w:t>Closing the Public Health Ethics Gap</w:t>
      </w:r>
    </w:p>
    <w:p w:rsidR="00256A42" w:rsidRDefault="00256A42" w:rsidP="00256A42">
      <w:pPr>
        <w:pBdr>
          <w:top w:val="single" w:sz="6" w:space="2" w:color="D4802C"/>
          <w:left w:val="single" w:sz="6" w:space="2" w:color="D4802C"/>
        </w:pBdr>
        <w:spacing w:before="300"/>
        <w:outlineLvl w:val="2"/>
      </w:pPr>
      <w:r>
        <w:rPr>
          <w:rFonts w:eastAsiaTheme="minorEastAsia"/>
          <w:caps/>
          <w:spacing w:val="15"/>
        </w:rPr>
        <w:t>new engand journal of medicine</w:t>
      </w:r>
      <w:r w:rsidR="00E92671">
        <w:rPr>
          <w:rFonts w:eastAsiaTheme="minorEastAsia"/>
          <w:caps/>
          <w:spacing w:val="15"/>
        </w:rPr>
        <w:t xml:space="preserve"> | </w:t>
      </w:r>
      <w:r>
        <w:rPr>
          <w:rFonts w:eastAsiaTheme="minorEastAsia"/>
          <w:caps/>
          <w:spacing w:val="15"/>
        </w:rPr>
        <w:t>15</w:t>
      </w:r>
      <w:r w:rsidR="00334E8D" w:rsidRPr="00334E8D">
        <w:rPr>
          <w:rFonts w:eastAsiaTheme="minorEastAsia"/>
          <w:caps/>
          <w:spacing w:val="15"/>
          <w:vertAlign w:val="superscript"/>
        </w:rPr>
        <w:t>th</w:t>
      </w:r>
      <w:r w:rsidR="00334E8D">
        <w:rPr>
          <w:rFonts w:eastAsiaTheme="minorEastAsia"/>
          <w:caps/>
          <w:spacing w:val="15"/>
        </w:rPr>
        <w:t xml:space="preserve"> </w:t>
      </w:r>
      <w:r w:rsidR="00E92671">
        <w:rPr>
          <w:rFonts w:eastAsiaTheme="minorEastAsia"/>
          <w:caps/>
          <w:spacing w:val="15"/>
        </w:rPr>
        <w:t>september 2022</w:t>
      </w:r>
      <w:r w:rsidR="00E92671">
        <w:rPr>
          <w:rFonts w:eastAsiaTheme="minorEastAsia"/>
          <w:caps/>
          <w:spacing w:val="15"/>
        </w:rPr>
        <w:br/>
      </w:r>
      <w:r w:rsidR="00E92671">
        <w:br/>
      </w:r>
      <w:r>
        <w:t xml:space="preserve">During the Covid-19 pandemic, public health decision makers haven’t always been transparent with the public, often failing to adequately explain the reasoning behind their decisions about interventions such as mask mandates, quarantine and isolation policies, mandatory testing, and transitions to remote work and learning. In many cases, public health leaders simply stated that they were “following the science,” without acknowledging that the data models they were relying on have varying degrees of accuracy and reliability, that the available evidence would evolve and require </w:t>
      </w:r>
      <w:proofErr w:type="spellStart"/>
      <w:r>
        <w:t>reevaluation</w:t>
      </w:r>
      <w:proofErr w:type="spellEnd"/>
      <w:r>
        <w:t>, and that reasonable people could disagree about how to translate data into policy. In fact, officials sometimes relied on “noble lies,” intentionally misrepresenting facts in order to support their decisions, simplify communications, or maintain calm.1 Oftentimes a policy was characterized as ethically appropriate simply because it was legally permissible…</w:t>
      </w:r>
      <w:r>
        <w:br/>
      </w:r>
      <w:hyperlink r:id="rId43" w:history="1">
        <w:r w:rsidRPr="00184730">
          <w:rPr>
            <w:rStyle w:val="Hyperlink"/>
          </w:rPr>
          <w:t>https://www.nejm.org/doi/full/10.1056/NEJMp2207543</w:t>
        </w:r>
      </w:hyperlink>
      <w:r>
        <w:t xml:space="preserve"> </w:t>
      </w:r>
    </w:p>
    <w:p w:rsidR="00260948" w:rsidRDefault="00260948"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256A42" w:rsidRDefault="00256A42" w:rsidP="00256A42">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256A42">
        <w:rPr>
          <w:rFonts w:eastAsiaTheme="minorEastAsia"/>
          <w:caps/>
          <w:spacing w:val="15"/>
        </w:rPr>
        <w:t>Cognitive Decline in Long-term Care Residents Before and During the COVID-19 Pandemic in Ontario, Canada</w:t>
      </w:r>
    </w:p>
    <w:p w:rsidR="00256A42" w:rsidRDefault="00256A42" w:rsidP="00256A42">
      <w:pPr>
        <w:pBdr>
          <w:top w:val="single" w:sz="6" w:space="2" w:color="D4802C"/>
          <w:left w:val="single" w:sz="6" w:space="2" w:color="D4802C"/>
        </w:pBdr>
        <w:spacing w:before="300"/>
        <w:outlineLvl w:val="2"/>
      </w:pPr>
      <w:r>
        <w:rPr>
          <w:rFonts w:eastAsiaTheme="minorEastAsia"/>
          <w:caps/>
          <w:spacing w:val="15"/>
        </w:rPr>
        <w:t>JAMA| 12</w:t>
      </w:r>
      <w:r w:rsidRPr="00334E8D">
        <w:rPr>
          <w:rFonts w:eastAsiaTheme="minorEastAsia"/>
          <w:caps/>
          <w:spacing w:val="15"/>
          <w:vertAlign w:val="superscript"/>
        </w:rPr>
        <w:t>th</w:t>
      </w:r>
      <w:r>
        <w:rPr>
          <w:rFonts w:eastAsiaTheme="minorEastAsia"/>
          <w:caps/>
          <w:spacing w:val="15"/>
        </w:rPr>
        <w:t xml:space="preserve"> september 2022</w:t>
      </w:r>
      <w:r>
        <w:rPr>
          <w:rFonts w:eastAsiaTheme="minorEastAsia"/>
          <w:caps/>
          <w:spacing w:val="15"/>
        </w:rPr>
        <w:br/>
      </w:r>
      <w:r>
        <w:br/>
        <w:t xml:space="preserve">During the Covid-19 pandemic, public health decision makers haven’t always been transparent with </w:t>
      </w:r>
      <w:r>
        <w:br/>
      </w:r>
      <w:r w:rsidRPr="00256A42">
        <w:t xml:space="preserve">In this matched population-based study, the incidence of cognitive decline was lower among LTC residents during the COVID-19 pandemic than before the pandemic. This finding may be due to the indirect effects of the higher incidence of death in the COVID-19 group.6 </w:t>
      </w:r>
      <w:proofErr w:type="gramStart"/>
      <w:r w:rsidRPr="00256A42">
        <w:t>Importantly</w:t>
      </w:r>
      <w:proofErr w:type="gramEnd"/>
      <w:r w:rsidRPr="00256A42">
        <w:t>, cognitive decline was similar between residents in LTC homes with and without COVID-19 outbreaks, suggesting that greater exposure to public health restrictions (</w:t>
      </w:r>
      <w:proofErr w:type="spellStart"/>
      <w:r w:rsidRPr="00256A42">
        <w:t>eg</w:t>
      </w:r>
      <w:proofErr w:type="spellEnd"/>
      <w:r w:rsidRPr="00256A42">
        <w:t xml:space="preserve">, in-room isolation) was not associated with increased decline. These results do not support anecdotal concerns that the pandemic has resulted in greater cognitive decline in </w:t>
      </w:r>
      <w:r>
        <w:t>LTC residents.</w:t>
      </w:r>
      <w:r>
        <w:br/>
      </w:r>
      <w:hyperlink r:id="rId44" w:history="1">
        <w:r w:rsidRPr="00184730">
          <w:rPr>
            <w:rStyle w:val="Hyperlink"/>
          </w:rPr>
          <w:t>https://jamanetwork.com/journals/jama/fullarticle/2796449</w:t>
        </w:r>
      </w:hyperlink>
      <w:r>
        <w:t xml:space="preserve"> </w:t>
      </w:r>
    </w:p>
    <w:p w:rsidR="00256A42" w:rsidRDefault="00256A42"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FB6887" w:rsidRDefault="00FB6887"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930E75" w:rsidRDefault="00420EC3">
      <w:bookmarkStart w:id="9" w:name="Inequalities"/>
      <w:bookmarkEnd w:id="9"/>
      <w:r>
        <w:rPr>
          <w:noProof/>
          <w:lang w:eastAsia="en-GB"/>
        </w:rPr>
        <mc:AlternateContent>
          <mc:Choice Requires="wps">
            <w:drawing>
              <wp:anchor distT="0" distB="0" distL="114300" distR="114300" simplePos="0" relativeHeight="251659264" behindDoc="0" locked="0" layoutInCell="1" allowOverlap="1" wp14:anchorId="36EFB5D5" wp14:editId="251F6EC4">
                <wp:simplePos x="0" y="0"/>
                <wp:positionH relativeFrom="column">
                  <wp:posOffset>-2038350</wp:posOffset>
                </wp:positionH>
                <wp:positionV relativeFrom="paragraph">
                  <wp:posOffset>992505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A1063" w:rsidRDefault="001A1063"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8"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" filled="f" strokecolor="#8a0000" strokeweight="2pt">
                <v:textbox>
                  <w:txbxContent>
                    <w:p w:rsidR="001A1063" w:rsidRDefault="001A1063" w:rsidP="003A63FA">
                      <w:pPr>
                        <w:jc w:val="center"/>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425C6C86" wp14:editId="6EBC2DD0">
                <wp:simplePos x="0" y="0"/>
                <wp:positionH relativeFrom="column">
                  <wp:posOffset>-533400</wp:posOffset>
                </wp:positionH>
                <wp:positionV relativeFrom="paragraph">
                  <wp:posOffset>107315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1063" w:rsidRPr="003A63FA" w:rsidRDefault="001A1063" w:rsidP="003A63FA">
                            <w:pPr>
                              <w:jc w:val="center"/>
                              <w:rPr>
                                <w:color w:val="FFFFFF" w:themeColor="background1"/>
                                <w:sz w:val="2"/>
                              </w:rPr>
                            </w:pPr>
                          </w:p>
                          <w:p w:rsidR="001A1063" w:rsidRDefault="001A1063" w:rsidP="003A63FA">
                            <w:pPr>
                              <w:jc w:val="center"/>
                              <w:rPr>
                                <w:color w:val="FFFFFF" w:themeColor="background1"/>
                              </w:rPr>
                            </w:pPr>
                            <w:r w:rsidRPr="003A63FA">
                              <w:rPr>
                                <w:color w:val="FFFFFF" w:themeColor="background1"/>
                              </w:rPr>
                              <w:t>We</w:t>
                            </w:r>
                          </w:p>
                          <w:p w:rsidR="001A1063" w:rsidRDefault="001A1063" w:rsidP="003A63FA">
                            <w:pPr>
                              <w:jc w:val="center"/>
                              <w:rPr>
                                <w:color w:val="FFFFFF" w:themeColor="background1"/>
                              </w:rPr>
                            </w:pPr>
                          </w:p>
                          <w:p w:rsidR="001A1063" w:rsidRDefault="001A1063" w:rsidP="003A63FA">
                            <w:pPr>
                              <w:jc w:val="center"/>
                              <w:rPr>
                                <w:color w:val="FFFFFF" w:themeColor="background1"/>
                              </w:rPr>
                            </w:pPr>
                            <w:r w:rsidRPr="003A63FA">
                              <w:rPr>
                                <w:color w:val="FFFFFF" w:themeColor="background1"/>
                              </w:rPr>
                              <w:t xml:space="preserve"> </w:t>
                            </w:r>
                          </w:p>
                          <w:p w:rsidR="001A1063" w:rsidRDefault="001A1063" w:rsidP="003A63FA">
                            <w:pPr>
                              <w:jc w:val="center"/>
                              <w:rPr>
                                <w:color w:val="FFFFFF" w:themeColor="background1"/>
                              </w:rPr>
                            </w:pPr>
                          </w:p>
                          <w:p w:rsidR="001A1063" w:rsidRPr="00C7297D" w:rsidRDefault="001A1063" w:rsidP="00C7297D">
                            <w:pPr>
                              <w:jc w:val="center"/>
                            </w:pPr>
                            <w:hyperlink r:id="rId45"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46" w:history="1">
                              <w:r w:rsidRPr="00C7297D">
                                <w:rPr>
                                  <w:rStyle w:val="Hyperlink"/>
                                </w:rPr>
                                <w:t>Covid-19 portal</w:t>
                              </w:r>
                            </w:hyperlink>
                            <w:r w:rsidRPr="00C7297D">
                              <w:t>. For daily updates on Covid-19 visit our '</w:t>
                            </w:r>
                            <w:hyperlink r:id="rId47" w:tgtFrame="_blank" w:history="1">
                              <w:r w:rsidRPr="00C7297D">
                                <w:rPr>
                                  <w:rStyle w:val="Hyperlink"/>
                                </w:rPr>
                                <w:t>Latest Health</w:t>
                              </w:r>
                            </w:hyperlink>
                            <w:r w:rsidRPr="00C7297D">
                              <w:t xml:space="preserve">' newsfeed, or use the hashtag </w:t>
                            </w:r>
                            <w:hyperlink r:id="rId48" w:history="1">
                              <w:r w:rsidRPr="00C7297D">
                                <w:rPr>
                                  <w:rStyle w:val="Hyperlink"/>
                                </w:rPr>
                                <w:t>#covid19rftlks</w:t>
                              </w:r>
                            </w:hyperlink>
                            <w:r w:rsidRPr="00C7297D">
                              <w:rPr>
                                <w:u w:val="single"/>
                              </w:rPr>
                              <w:t xml:space="preserve"> </w:t>
                            </w:r>
                            <w:r w:rsidRPr="00C7297D">
                              <w:t>to see our latest tweets on Covid-19 research, guidelines and news.</w:t>
                            </w:r>
                          </w:p>
                          <w:p w:rsidR="001A1063" w:rsidRDefault="001A1063"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49" w:history="1">
                              <w:r w:rsidRPr="008A42F4">
                                <w:rPr>
                                  <w:rStyle w:val="Hyperlink"/>
                                  <w:color w:val="339966"/>
                                </w:rPr>
                                <w:t>website</w:t>
                              </w:r>
                            </w:hyperlink>
                            <w:r>
                              <w:rPr>
                                <w:rStyle w:val="Hyperlink"/>
                                <w:color w:val="339966"/>
                              </w:rPr>
                              <w:t xml:space="preserve"> </w:t>
                            </w:r>
                            <w:r w:rsidRPr="008A42F4">
                              <w:t xml:space="preserve"> for more information </w:t>
                            </w:r>
                          </w:p>
                          <w:p w:rsidR="001A1063" w:rsidRDefault="001A1063" w:rsidP="003A63FA">
                            <w:pPr>
                              <w:jc w:val="center"/>
                              <w:rPr>
                                <w:color w:val="339966"/>
                              </w:rPr>
                            </w:pPr>
                            <w:hyperlink r:id="rId50" w:history="1">
                              <w:r w:rsidRPr="00D90851">
                                <w:rPr>
                                  <w:rStyle w:val="Hyperlink"/>
                                </w:rPr>
                                <w:t>https://www.trftlibraryknowledge.com/health-newsfeeds.html</w:t>
                              </w:r>
                            </w:hyperlink>
                          </w:p>
                          <w:p w:rsidR="001A1063" w:rsidRPr="008A42F4" w:rsidRDefault="001A1063"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6C86" id="Text Box 4" o:spid="_x0000_s1029" type="#_x0000_t202" style="position:absolute;margin-left:-42pt;margin-top:8.4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" filled="f" stroked="f" strokeweight=".5pt">
                <v:textbox>
                  <w:txbxContent>
                    <w:p w:rsidR="001A1063" w:rsidRPr="003A63FA" w:rsidRDefault="001A1063" w:rsidP="003A63FA">
                      <w:pPr>
                        <w:jc w:val="center"/>
                        <w:rPr>
                          <w:color w:val="FFFFFF" w:themeColor="background1"/>
                          <w:sz w:val="2"/>
                        </w:rPr>
                      </w:pPr>
                    </w:p>
                    <w:p w:rsidR="001A1063" w:rsidRDefault="001A1063" w:rsidP="003A63FA">
                      <w:pPr>
                        <w:jc w:val="center"/>
                        <w:rPr>
                          <w:color w:val="FFFFFF" w:themeColor="background1"/>
                        </w:rPr>
                      </w:pPr>
                      <w:r w:rsidRPr="003A63FA">
                        <w:rPr>
                          <w:color w:val="FFFFFF" w:themeColor="background1"/>
                        </w:rPr>
                        <w:t>We</w:t>
                      </w:r>
                    </w:p>
                    <w:p w:rsidR="001A1063" w:rsidRDefault="001A1063" w:rsidP="003A63FA">
                      <w:pPr>
                        <w:jc w:val="center"/>
                        <w:rPr>
                          <w:color w:val="FFFFFF" w:themeColor="background1"/>
                        </w:rPr>
                      </w:pPr>
                    </w:p>
                    <w:p w:rsidR="001A1063" w:rsidRDefault="001A1063" w:rsidP="003A63FA">
                      <w:pPr>
                        <w:jc w:val="center"/>
                        <w:rPr>
                          <w:color w:val="FFFFFF" w:themeColor="background1"/>
                        </w:rPr>
                      </w:pPr>
                      <w:r w:rsidRPr="003A63FA">
                        <w:rPr>
                          <w:color w:val="FFFFFF" w:themeColor="background1"/>
                        </w:rPr>
                        <w:t xml:space="preserve"> </w:t>
                      </w:r>
                    </w:p>
                    <w:p w:rsidR="001A1063" w:rsidRDefault="001A1063" w:rsidP="003A63FA">
                      <w:pPr>
                        <w:jc w:val="center"/>
                        <w:rPr>
                          <w:color w:val="FFFFFF" w:themeColor="background1"/>
                        </w:rPr>
                      </w:pPr>
                    </w:p>
                    <w:p w:rsidR="001A1063" w:rsidRPr="00C7297D" w:rsidRDefault="001A1063" w:rsidP="00C7297D">
                      <w:pPr>
                        <w:jc w:val="center"/>
                      </w:pPr>
                      <w:hyperlink r:id="rId51"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52" w:history="1">
                        <w:r w:rsidRPr="00C7297D">
                          <w:rPr>
                            <w:rStyle w:val="Hyperlink"/>
                          </w:rPr>
                          <w:t>Covid-19 portal</w:t>
                        </w:r>
                      </w:hyperlink>
                      <w:r w:rsidRPr="00C7297D">
                        <w:t>. For daily updates on Covid-19 visit our '</w:t>
                      </w:r>
                      <w:hyperlink r:id="rId53" w:tgtFrame="_blank" w:history="1">
                        <w:r w:rsidRPr="00C7297D">
                          <w:rPr>
                            <w:rStyle w:val="Hyperlink"/>
                          </w:rPr>
                          <w:t>Latest Health</w:t>
                        </w:r>
                      </w:hyperlink>
                      <w:r w:rsidRPr="00C7297D">
                        <w:t xml:space="preserve">' newsfeed, or use the hashtag </w:t>
                      </w:r>
                      <w:hyperlink r:id="rId54" w:history="1">
                        <w:r w:rsidRPr="00C7297D">
                          <w:rPr>
                            <w:rStyle w:val="Hyperlink"/>
                          </w:rPr>
                          <w:t>#covid19rftlks</w:t>
                        </w:r>
                      </w:hyperlink>
                      <w:r w:rsidRPr="00C7297D">
                        <w:rPr>
                          <w:u w:val="single"/>
                        </w:rPr>
                        <w:t xml:space="preserve"> </w:t>
                      </w:r>
                      <w:r w:rsidRPr="00C7297D">
                        <w:t>to see our latest tweets on Covid-19 research, guidelines and news.</w:t>
                      </w:r>
                    </w:p>
                    <w:p w:rsidR="001A1063" w:rsidRDefault="001A1063"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55" w:history="1">
                        <w:r w:rsidRPr="008A42F4">
                          <w:rPr>
                            <w:rStyle w:val="Hyperlink"/>
                            <w:color w:val="339966"/>
                          </w:rPr>
                          <w:t>website</w:t>
                        </w:r>
                      </w:hyperlink>
                      <w:r>
                        <w:rPr>
                          <w:rStyle w:val="Hyperlink"/>
                          <w:color w:val="339966"/>
                        </w:rPr>
                        <w:t xml:space="preserve"> </w:t>
                      </w:r>
                      <w:r w:rsidRPr="008A42F4">
                        <w:t xml:space="preserve"> for more information </w:t>
                      </w:r>
                    </w:p>
                    <w:p w:rsidR="001A1063" w:rsidRDefault="001A1063" w:rsidP="003A63FA">
                      <w:pPr>
                        <w:jc w:val="center"/>
                        <w:rPr>
                          <w:color w:val="339966"/>
                        </w:rPr>
                      </w:pPr>
                      <w:hyperlink r:id="rId56" w:history="1">
                        <w:r w:rsidRPr="00D90851">
                          <w:rPr>
                            <w:rStyle w:val="Hyperlink"/>
                          </w:rPr>
                          <w:t>https://www.trftlibraryknowledge.com/health-newsfeeds.html</w:t>
                        </w:r>
                      </w:hyperlink>
                    </w:p>
                    <w:p w:rsidR="001A1063" w:rsidRPr="008A42F4" w:rsidRDefault="001A1063" w:rsidP="003A63FA">
                      <w:pPr>
                        <w:jc w:val="center"/>
                        <w:rPr>
                          <w:color w:val="339966"/>
                        </w:rPr>
                      </w:pPr>
                    </w:p>
                  </w:txbxContent>
                </v:textbox>
              </v:shape>
            </w:pict>
          </mc:Fallback>
        </mc:AlternateContent>
      </w:r>
    </w:p>
    <w:sectPr w:rsidR="00930E75" w:rsidSect="003A63FA">
      <w:headerReference w:type="default" r:id="rId57"/>
      <w:footerReference w:type="default" r:id="rId58"/>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063" w:rsidRDefault="001A1063" w:rsidP="00F06475">
      <w:pPr>
        <w:spacing w:after="0" w:line="240" w:lineRule="auto"/>
      </w:pPr>
      <w:r>
        <w:separator/>
      </w:r>
    </w:p>
  </w:endnote>
  <w:endnote w:type="continuationSeparator" w:id="0">
    <w:p w:rsidR="001A1063" w:rsidRDefault="001A1063"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1A1063" w:rsidRDefault="001A1063">
        <w:pPr>
          <w:pStyle w:val="Footer"/>
          <w:jc w:val="right"/>
        </w:pPr>
        <w:r>
          <w:fldChar w:fldCharType="begin"/>
        </w:r>
        <w:r>
          <w:instrText xml:space="preserve"> PAGE   \* MERGEFORMAT </w:instrText>
        </w:r>
        <w:r>
          <w:fldChar w:fldCharType="separate"/>
        </w:r>
        <w:r w:rsidR="006C3C41">
          <w:rPr>
            <w:noProof/>
          </w:rPr>
          <w:t>16</w:t>
        </w:r>
        <w:r>
          <w:rPr>
            <w:noProof/>
          </w:rPr>
          <w:fldChar w:fldCharType="end"/>
        </w:r>
      </w:p>
    </w:sdtContent>
  </w:sdt>
  <w:p w:rsidR="001A1063" w:rsidRDefault="001A1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063" w:rsidRDefault="001A1063" w:rsidP="00F06475">
      <w:pPr>
        <w:spacing w:after="0" w:line="240" w:lineRule="auto"/>
      </w:pPr>
      <w:r>
        <w:separator/>
      </w:r>
    </w:p>
  </w:footnote>
  <w:footnote w:type="continuationSeparator" w:id="0">
    <w:p w:rsidR="001A1063" w:rsidRDefault="001A1063"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063" w:rsidRDefault="001A1063"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1063" w:rsidRPr="00244F90" w:rsidRDefault="001A1063"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300A0"/>
    <w:multiLevelType w:val="multilevel"/>
    <w:tmpl w:val="3F86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156AD"/>
    <w:multiLevelType w:val="multilevel"/>
    <w:tmpl w:val="0AA0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C0132"/>
    <w:multiLevelType w:val="multilevel"/>
    <w:tmpl w:val="254C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DA53E5"/>
    <w:multiLevelType w:val="multilevel"/>
    <w:tmpl w:val="59C2C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575FE"/>
    <w:multiLevelType w:val="multilevel"/>
    <w:tmpl w:val="9FCA8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9A46C6"/>
    <w:multiLevelType w:val="multilevel"/>
    <w:tmpl w:val="C20C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05084B"/>
    <w:multiLevelType w:val="multilevel"/>
    <w:tmpl w:val="8B5A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BE58C3"/>
    <w:multiLevelType w:val="multilevel"/>
    <w:tmpl w:val="CD5A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2A3EE2"/>
    <w:multiLevelType w:val="hybridMultilevel"/>
    <w:tmpl w:val="36EAF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A073C7"/>
    <w:multiLevelType w:val="multilevel"/>
    <w:tmpl w:val="DBB6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2B2D71"/>
    <w:multiLevelType w:val="multilevel"/>
    <w:tmpl w:val="0F16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9E5AC3"/>
    <w:multiLevelType w:val="multilevel"/>
    <w:tmpl w:val="6CB0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41082B"/>
    <w:multiLevelType w:val="multilevel"/>
    <w:tmpl w:val="1C3E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707DE0"/>
    <w:multiLevelType w:val="multilevel"/>
    <w:tmpl w:val="8652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C6593C"/>
    <w:multiLevelType w:val="multilevel"/>
    <w:tmpl w:val="2CF03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ED7B19"/>
    <w:multiLevelType w:val="multilevel"/>
    <w:tmpl w:val="69A2C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554E38"/>
    <w:multiLevelType w:val="multilevel"/>
    <w:tmpl w:val="2652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437213"/>
    <w:multiLevelType w:val="multilevel"/>
    <w:tmpl w:val="27AE8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1C0277"/>
    <w:multiLevelType w:val="multilevel"/>
    <w:tmpl w:val="69F2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18"/>
  </w:num>
  <w:num w:numId="4">
    <w:abstractNumId w:val="14"/>
  </w:num>
  <w:num w:numId="5">
    <w:abstractNumId w:val="11"/>
  </w:num>
  <w:num w:numId="6">
    <w:abstractNumId w:val="13"/>
  </w:num>
  <w:num w:numId="7">
    <w:abstractNumId w:val="1"/>
  </w:num>
  <w:num w:numId="8">
    <w:abstractNumId w:val="16"/>
  </w:num>
  <w:num w:numId="9">
    <w:abstractNumId w:val="2"/>
  </w:num>
  <w:num w:numId="10">
    <w:abstractNumId w:val="6"/>
  </w:num>
  <w:num w:numId="11">
    <w:abstractNumId w:val="10"/>
  </w:num>
  <w:num w:numId="12">
    <w:abstractNumId w:val="5"/>
  </w:num>
  <w:num w:numId="13">
    <w:abstractNumId w:val="9"/>
  </w:num>
  <w:num w:numId="14">
    <w:abstractNumId w:val="4"/>
  </w:num>
  <w:num w:numId="15">
    <w:abstractNumId w:val="7"/>
  </w:num>
  <w:num w:numId="16">
    <w:abstractNumId w:val="3"/>
  </w:num>
  <w:num w:numId="17">
    <w:abstractNumId w:val="12"/>
  </w:num>
  <w:num w:numId="18">
    <w:abstractNumId w:val="8"/>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02F00"/>
    <w:rsid w:val="00005DBA"/>
    <w:rsid w:val="000111FB"/>
    <w:rsid w:val="00014241"/>
    <w:rsid w:val="00015F26"/>
    <w:rsid w:val="00016657"/>
    <w:rsid w:val="00016DB5"/>
    <w:rsid w:val="00026309"/>
    <w:rsid w:val="0002735D"/>
    <w:rsid w:val="000304F0"/>
    <w:rsid w:val="0003070B"/>
    <w:rsid w:val="00033BCE"/>
    <w:rsid w:val="00034907"/>
    <w:rsid w:val="00037C00"/>
    <w:rsid w:val="00041E0B"/>
    <w:rsid w:val="00046298"/>
    <w:rsid w:val="0005026A"/>
    <w:rsid w:val="000510BA"/>
    <w:rsid w:val="000517A9"/>
    <w:rsid w:val="00051BFC"/>
    <w:rsid w:val="00052367"/>
    <w:rsid w:val="000609F9"/>
    <w:rsid w:val="0006134D"/>
    <w:rsid w:val="00062C8B"/>
    <w:rsid w:val="000632A8"/>
    <w:rsid w:val="00065A47"/>
    <w:rsid w:val="00070262"/>
    <w:rsid w:val="00072FF9"/>
    <w:rsid w:val="000732A3"/>
    <w:rsid w:val="00073692"/>
    <w:rsid w:val="000749B7"/>
    <w:rsid w:val="00075E06"/>
    <w:rsid w:val="00077250"/>
    <w:rsid w:val="000776A2"/>
    <w:rsid w:val="00077A94"/>
    <w:rsid w:val="00077C7C"/>
    <w:rsid w:val="00081B0B"/>
    <w:rsid w:val="00084862"/>
    <w:rsid w:val="00085109"/>
    <w:rsid w:val="00085E68"/>
    <w:rsid w:val="000861EA"/>
    <w:rsid w:val="0008776B"/>
    <w:rsid w:val="00092A0F"/>
    <w:rsid w:val="000A2968"/>
    <w:rsid w:val="000A4ECD"/>
    <w:rsid w:val="000A5857"/>
    <w:rsid w:val="000B0981"/>
    <w:rsid w:val="000B145B"/>
    <w:rsid w:val="000C0051"/>
    <w:rsid w:val="000C0D16"/>
    <w:rsid w:val="000C3101"/>
    <w:rsid w:val="000C4516"/>
    <w:rsid w:val="000C55A9"/>
    <w:rsid w:val="000C642E"/>
    <w:rsid w:val="000C6962"/>
    <w:rsid w:val="000D08B9"/>
    <w:rsid w:val="000D3515"/>
    <w:rsid w:val="000D4062"/>
    <w:rsid w:val="000D4AFF"/>
    <w:rsid w:val="000E209D"/>
    <w:rsid w:val="000F6138"/>
    <w:rsid w:val="000F6DFC"/>
    <w:rsid w:val="00101133"/>
    <w:rsid w:val="0010329F"/>
    <w:rsid w:val="00104CB5"/>
    <w:rsid w:val="00105D86"/>
    <w:rsid w:val="00105DF5"/>
    <w:rsid w:val="00107BE6"/>
    <w:rsid w:val="00110376"/>
    <w:rsid w:val="0011143A"/>
    <w:rsid w:val="00112E8C"/>
    <w:rsid w:val="001134DA"/>
    <w:rsid w:val="0011523A"/>
    <w:rsid w:val="00116A60"/>
    <w:rsid w:val="0011731C"/>
    <w:rsid w:val="00125487"/>
    <w:rsid w:val="00130E4C"/>
    <w:rsid w:val="001314C0"/>
    <w:rsid w:val="0013781F"/>
    <w:rsid w:val="0014521E"/>
    <w:rsid w:val="00147534"/>
    <w:rsid w:val="00151731"/>
    <w:rsid w:val="00151A65"/>
    <w:rsid w:val="00153531"/>
    <w:rsid w:val="00153F4C"/>
    <w:rsid w:val="00154AAD"/>
    <w:rsid w:val="001579A9"/>
    <w:rsid w:val="00163116"/>
    <w:rsid w:val="0016552E"/>
    <w:rsid w:val="0017187C"/>
    <w:rsid w:val="00174B7D"/>
    <w:rsid w:val="001838F3"/>
    <w:rsid w:val="001867F4"/>
    <w:rsid w:val="00190278"/>
    <w:rsid w:val="001909D4"/>
    <w:rsid w:val="00191A5C"/>
    <w:rsid w:val="001962E0"/>
    <w:rsid w:val="00196354"/>
    <w:rsid w:val="00196FBF"/>
    <w:rsid w:val="001A05D1"/>
    <w:rsid w:val="001A08EB"/>
    <w:rsid w:val="001A1063"/>
    <w:rsid w:val="001A31A4"/>
    <w:rsid w:val="001A44E9"/>
    <w:rsid w:val="001A72B7"/>
    <w:rsid w:val="001C2EBC"/>
    <w:rsid w:val="001C32D2"/>
    <w:rsid w:val="001C3390"/>
    <w:rsid w:val="001C5329"/>
    <w:rsid w:val="001C5EDB"/>
    <w:rsid w:val="001C68CF"/>
    <w:rsid w:val="001D03AB"/>
    <w:rsid w:val="001D22B9"/>
    <w:rsid w:val="001D2E77"/>
    <w:rsid w:val="001D5EB9"/>
    <w:rsid w:val="001D7A12"/>
    <w:rsid w:val="001E1F53"/>
    <w:rsid w:val="001E7349"/>
    <w:rsid w:val="001F4948"/>
    <w:rsid w:val="001F75AF"/>
    <w:rsid w:val="001F79B2"/>
    <w:rsid w:val="0020070B"/>
    <w:rsid w:val="00200923"/>
    <w:rsid w:val="00213A3A"/>
    <w:rsid w:val="002307CF"/>
    <w:rsid w:val="0023235D"/>
    <w:rsid w:val="002332A3"/>
    <w:rsid w:val="00236DF0"/>
    <w:rsid w:val="0024067F"/>
    <w:rsid w:val="0024319E"/>
    <w:rsid w:val="00244F90"/>
    <w:rsid w:val="00250BB8"/>
    <w:rsid w:val="00251388"/>
    <w:rsid w:val="0025346E"/>
    <w:rsid w:val="00254E10"/>
    <w:rsid w:val="00256A42"/>
    <w:rsid w:val="0026063D"/>
    <w:rsid w:val="00260948"/>
    <w:rsid w:val="00261DCB"/>
    <w:rsid w:val="002652F3"/>
    <w:rsid w:val="00265644"/>
    <w:rsid w:val="002704DA"/>
    <w:rsid w:val="00272D1B"/>
    <w:rsid w:val="002765D2"/>
    <w:rsid w:val="002814F8"/>
    <w:rsid w:val="00281C18"/>
    <w:rsid w:val="002904BE"/>
    <w:rsid w:val="002923DF"/>
    <w:rsid w:val="0029442B"/>
    <w:rsid w:val="00295936"/>
    <w:rsid w:val="00296882"/>
    <w:rsid w:val="002A4F0F"/>
    <w:rsid w:val="002A7F31"/>
    <w:rsid w:val="002B080A"/>
    <w:rsid w:val="002B21DC"/>
    <w:rsid w:val="002B23D9"/>
    <w:rsid w:val="002C1F58"/>
    <w:rsid w:val="002C3154"/>
    <w:rsid w:val="002C37AF"/>
    <w:rsid w:val="002C4727"/>
    <w:rsid w:val="002C4EAC"/>
    <w:rsid w:val="002E24C8"/>
    <w:rsid w:val="002E250A"/>
    <w:rsid w:val="002E2BAE"/>
    <w:rsid w:val="002E472D"/>
    <w:rsid w:val="002E5198"/>
    <w:rsid w:val="002E5DD9"/>
    <w:rsid w:val="002F29D4"/>
    <w:rsid w:val="002F4BF5"/>
    <w:rsid w:val="002F4FE4"/>
    <w:rsid w:val="002F5887"/>
    <w:rsid w:val="002F6936"/>
    <w:rsid w:val="002F7CA7"/>
    <w:rsid w:val="00301104"/>
    <w:rsid w:val="003016A7"/>
    <w:rsid w:val="00305B6B"/>
    <w:rsid w:val="0031245B"/>
    <w:rsid w:val="003127D8"/>
    <w:rsid w:val="00312E5E"/>
    <w:rsid w:val="003140E1"/>
    <w:rsid w:val="00315700"/>
    <w:rsid w:val="00320740"/>
    <w:rsid w:val="00322F38"/>
    <w:rsid w:val="0032373E"/>
    <w:rsid w:val="00324BCC"/>
    <w:rsid w:val="00326C72"/>
    <w:rsid w:val="00330444"/>
    <w:rsid w:val="00332FB3"/>
    <w:rsid w:val="00334E8D"/>
    <w:rsid w:val="003407F9"/>
    <w:rsid w:val="00344033"/>
    <w:rsid w:val="00344E87"/>
    <w:rsid w:val="00346BA9"/>
    <w:rsid w:val="00346DA2"/>
    <w:rsid w:val="003525F7"/>
    <w:rsid w:val="00360A45"/>
    <w:rsid w:val="00363D81"/>
    <w:rsid w:val="00364BE3"/>
    <w:rsid w:val="003673FD"/>
    <w:rsid w:val="00367796"/>
    <w:rsid w:val="00371AC6"/>
    <w:rsid w:val="003723E2"/>
    <w:rsid w:val="0037350E"/>
    <w:rsid w:val="00373799"/>
    <w:rsid w:val="00374528"/>
    <w:rsid w:val="00374690"/>
    <w:rsid w:val="00376D5C"/>
    <w:rsid w:val="003774A3"/>
    <w:rsid w:val="00377D13"/>
    <w:rsid w:val="003836D6"/>
    <w:rsid w:val="00384555"/>
    <w:rsid w:val="00384A28"/>
    <w:rsid w:val="003902AC"/>
    <w:rsid w:val="003934AD"/>
    <w:rsid w:val="003A3F8E"/>
    <w:rsid w:val="003A5C8D"/>
    <w:rsid w:val="003A5CC7"/>
    <w:rsid w:val="003A63FA"/>
    <w:rsid w:val="003B07B1"/>
    <w:rsid w:val="003B3278"/>
    <w:rsid w:val="003B4946"/>
    <w:rsid w:val="003B5A2F"/>
    <w:rsid w:val="003B73DD"/>
    <w:rsid w:val="003C38ED"/>
    <w:rsid w:val="003C431B"/>
    <w:rsid w:val="003C5A6D"/>
    <w:rsid w:val="003C5D98"/>
    <w:rsid w:val="003C6AF4"/>
    <w:rsid w:val="003C77B8"/>
    <w:rsid w:val="003D17FA"/>
    <w:rsid w:val="003D3D76"/>
    <w:rsid w:val="003D435D"/>
    <w:rsid w:val="003D466B"/>
    <w:rsid w:val="003D66B3"/>
    <w:rsid w:val="003D7691"/>
    <w:rsid w:val="003E1AA2"/>
    <w:rsid w:val="003E3462"/>
    <w:rsid w:val="003E6C8F"/>
    <w:rsid w:val="003F2682"/>
    <w:rsid w:val="003F4131"/>
    <w:rsid w:val="003F65F0"/>
    <w:rsid w:val="003F770E"/>
    <w:rsid w:val="00400DFE"/>
    <w:rsid w:val="0040264D"/>
    <w:rsid w:val="004040E0"/>
    <w:rsid w:val="0040452A"/>
    <w:rsid w:val="00405277"/>
    <w:rsid w:val="00405696"/>
    <w:rsid w:val="00405F73"/>
    <w:rsid w:val="00407C28"/>
    <w:rsid w:val="0041032D"/>
    <w:rsid w:val="00413BBC"/>
    <w:rsid w:val="004174D9"/>
    <w:rsid w:val="00420EC3"/>
    <w:rsid w:val="00423670"/>
    <w:rsid w:val="0042378D"/>
    <w:rsid w:val="00423D0C"/>
    <w:rsid w:val="00424435"/>
    <w:rsid w:val="00424B6E"/>
    <w:rsid w:val="00425199"/>
    <w:rsid w:val="0042582F"/>
    <w:rsid w:val="00430B50"/>
    <w:rsid w:val="00435979"/>
    <w:rsid w:val="0043661E"/>
    <w:rsid w:val="00441D07"/>
    <w:rsid w:val="00445BC5"/>
    <w:rsid w:val="00451ACC"/>
    <w:rsid w:val="004525C6"/>
    <w:rsid w:val="004527E6"/>
    <w:rsid w:val="00452978"/>
    <w:rsid w:val="00455270"/>
    <w:rsid w:val="00455ACC"/>
    <w:rsid w:val="0045609D"/>
    <w:rsid w:val="00460128"/>
    <w:rsid w:val="00460AA0"/>
    <w:rsid w:val="00465205"/>
    <w:rsid w:val="00465751"/>
    <w:rsid w:val="004670E6"/>
    <w:rsid w:val="00472D8C"/>
    <w:rsid w:val="00474E61"/>
    <w:rsid w:val="00484820"/>
    <w:rsid w:val="00486344"/>
    <w:rsid w:val="00490236"/>
    <w:rsid w:val="00490D7C"/>
    <w:rsid w:val="004913E3"/>
    <w:rsid w:val="00491EA6"/>
    <w:rsid w:val="00492E7A"/>
    <w:rsid w:val="0049310E"/>
    <w:rsid w:val="004978FE"/>
    <w:rsid w:val="00497B10"/>
    <w:rsid w:val="004A0D16"/>
    <w:rsid w:val="004A28FF"/>
    <w:rsid w:val="004A4535"/>
    <w:rsid w:val="004A5929"/>
    <w:rsid w:val="004B1603"/>
    <w:rsid w:val="004B283A"/>
    <w:rsid w:val="004B5354"/>
    <w:rsid w:val="004C0610"/>
    <w:rsid w:val="004C097B"/>
    <w:rsid w:val="004C1343"/>
    <w:rsid w:val="004C31CB"/>
    <w:rsid w:val="004C491F"/>
    <w:rsid w:val="004D6EFE"/>
    <w:rsid w:val="004E4138"/>
    <w:rsid w:val="004E4CCB"/>
    <w:rsid w:val="004E7982"/>
    <w:rsid w:val="004F54C5"/>
    <w:rsid w:val="004F64D8"/>
    <w:rsid w:val="004F747E"/>
    <w:rsid w:val="004F7DDF"/>
    <w:rsid w:val="00501D59"/>
    <w:rsid w:val="005048C8"/>
    <w:rsid w:val="00505EB3"/>
    <w:rsid w:val="00507386"/>
    <w:rsid w:val="005134A2"/>
    <w:rsid w:val="005134CC"/>
    <w:rsid w:val="0051422B"/>
    <w:rsid w:val="00514A07"/>
    <w:rsid w:val="005211A0"/>
    <w:rsid w:val="00527522"/>
    <w:rsid w:val="00527C87"/>
    <w:rsid w:val="00532079"/>
    <w:rsid w:val="00532153"/>
    <w:rsid w:val="00537022"/>
    <w:rsid w:val="00544F15"/>
    <w:rsid w:val="0054592E"/>
    <w:rsid w:val="00561ABF"/>
    <w:rsid w:val="00563DCF"/>
    <w:rsid w:val="005641B7"/>
    <w:rsid w:val="00565844"/>
    <w:rsid w:val="00567E1C"/>
    <w:rsid w:val="00567F03"/>
    <w:rsid w:val="00576758"/>
    <w:rsid w:val="00581729"/>
    <w:rsid w:val="005817A6"/>
    <w:rsid w:val="00583A3D"/>
    <w:rsid w:val="00585417"/>
    <w:rsid w:val="00592C31"/>
    <w:rsid w:val="0059716D"/>
    <w:rsid w:val="00597592"/>
    <w:rsid w:val="005A1100"/>
    <w:rsid w:val="005A1ECB"/>
    <w:rsid w:val="005A3D10"/>
    <w:rsid w:val="005A4DB0"/>
    <w:rsid w:val="005A4E8F"/>
    <w:rsid w:val="005A6F07"/>
    <w:rsid w:val="005B04BA"/>
    <w:rsid w:val="005C56A0"/>
    <w:rsid w:val="005C59FD"/>
    <w:rsid w:val="005C65E4"/>
    <w:rsid w:val="005D02F9"/>
    <w:rsid w:val="005D116C"/>
    <w:rsid w:val="005D2805"/>
    <w:rsid w:val="005D47A6"/>
    <w:rsid w:val="005D503F"/>
    <w:rsid w:val="005E077A"/>
    <w:rsid w:val="005E099F"/>
    <w:rsid w:val="005E0EDD"/>
    <w:rsid w:val="005E6625"/>
    <w:rsid w:val="005F04CE"/>
    <w:rsid w:val="005F1664"/>
    <w:rsid w:val="005F4C32"/>
    <w:rsid w:val="005F7210"/>
    <w:rsid w:val="00600B36"/>
    <w:rsid w:val="00606DC5"/>
    <w:rsid w:val="00611A1C"/>
    <w:rsid w:val="00617CB2"/>
    <w:rsid w:val="00622660"/>
    <w:rsid w:val="00626B19"/>
    <w:rsid w:val="00627D72"/>
    <w:rsid w:val="00630A70"/>
    <w:rsid w:val="006313D5"/>
    <w:rsid w:val="00644173"/>
    <w:rsid w:val="00644B10"/>
    <w:rsid w:val="006512CF"/>
    <w:rsid w:val="00665F25"/>
    <w:rsid w:val="006671BD"/>
    <w:rsid w:val="0067075F"/>
    <w:rsid w:val="0067095F"/>
    <w:rsid w:val="00671D5A"/>
    <w:rsid w:val="00672A30"/>
    <w:rsid w:val="006763F5"/>
    <w:rsid w:val="00677EA0"/>
    <w:rsid w:val="006857CB"/>
    <w:rsid w:val="00685D87"/>
    <w:rsid w:val="006919BB"/>
    <w:rsid w:val="00695D00"/>
    <w:rsid w:val="00696896"/>
    <w:rsid w:val="006B21FB"/>
    <w:rsid w:val="006B4254"/>
    <w:rsid w:val="006B785A"/>
    <w:rsid w:val="006B7D0B"/>
    <w:rsid w:val="006C01CE"/>
    <w:rsid w:val="006C3C41"/>
    <w:rsid w:val="006C55FA"/>
    <w:rsid w:val="006C584D"/>
    <w:rsid w:val="006D1ECA"/>
    <w:rsid w:val="006D21BC"/>
    <w:rsid w:val="006E07E3"/>
    <w:rsid w:val="006E1452"/>
    <w:rsid w:val="006E6119"/>
    <w:rsid w:val="006F21A9"/>
    <w:rsid w:val="006F50B5"/>
    <w:rsid w:val="006F5EA0"/>
    <w:rsid w:val="006F7BC1"/>
    <w:rsid w:val="00700BA3"/>
    <w:rsid w:val="00700CF2"/>
    <w:rsid w:val="007024EF"/>
    <w:rsid w:val="007068BB"/>
    <w:rsid w:val="00710230"/>
    <w:rsid w:val="00711730"/>
    <w:rsid w:val="00713CD4"/>
    <w:rsid w:val="0072433D"/>
    <w:rsid w:val="00724B9E"/>
    <w:rsid w:val="0072562C"/>
    <w:rsid w:val="00725E20"/>
    <w:rsid w:val="00731145"/>
    <w:rsid w:val="007336FB"/>
    <w:rsid w:val="00740699"/>
    <w:rsid w:val="007423BD"/>
    <w:rsid w:val="0074245C"/>
    <w:rsid w:val="00742549"/>
    <w:rsid w:val="007444C5"/>
    <w:rsid w:val="00745C89"/>
    <w:rsid w:val="007564F4"/>
    <w:rsid w:val="00761AA1"/>
    <w:rsid w:val="00765739"/>
    <w:rsid w:val="0077292C"/>
    <w:rsid w:val="00773D93"/>
    <w:rsid w:val="00776249"/>
    <w:rsid w:val="007807CE"/>
    <w:rsid w:val="00781494"/>
    <w:rsid w:val="00781D6C"/>
    <w:rsid w:val="00782838"/>
    <w:rsid w:val="00782962"/>
    <w:rsid w:val="007868FE"/>
    <w:rsid w:val="007A0AFE"/>
    <w:rsid w:val="007A1F0C"/>
    <w:rsid w:val="007A2AAC"/>
    <w:rsid w:val="007A6D82"/>
    <w:rsid w:val="007B3F17"/>
    <w:rsid w:val="007B52F6"/>
    <w:rsid w:val="007B6F1B"/>
    <w:rsid w:val="007C5362"/>
    <w:rsid w:val="007D0044"/>
    <w:rsid w:val="007D35BC"/>
    <w:rsid w:val="007D50C1"/>
    <w:rsid w:val="007D6A00"/>
    <w:rsid w:val="007D7B79"/>
    <w:rsid w:val="007E191F"/>
    <w:rsid w:val="007E2026"/>
    <w:rsid w:val="007E736F"/>
    <w:rsid w:val="007E752F"/>
    <w:rsid w:val="007F1034"/>
    <w:rsid w:val="007F1243"/>
    <w:rsid w:val="007F331F"/>
    <w:rsid w:val="007F40E8"/>
    <w:rsid w:val="007F70B9"/>
    <w:rsid w:val="00802075"/>
    <w:rsid w:val="008036FC"/>
    <w:rsid w:val="008047CF"/>
    <w:rsid w:val="00806D57"/>
    <w:rsid w:val="0080755F"/>
    <w:rsid w:val="0081116C"/>
    <w:rsid w:val="00811472"/>
    <w:rsid w:val="00811A1A"/>
    <w:rsid w:val="00811F4A"/>
    <w:rsid w:val="008142B4"/>
    <w:rsid w:val="00814D25"/>
    <w:rsid w:val="008236C5"/>
    <w:rsid w:val="00824783"/>
    <w:rsid w:val="00824863"/>
    <w:rsid w:val="00827678"/>
    <w:rsid w:val="00833384"/>
    <w:rsid w:val="00833B00"/>
    <w:rsid w:val="00834589"/>
    <w:rsid w:val="00836C56"/>
    <w:rsid w:val="008429FE"/>
    <w:rsid w:val="00846628"/>
    <w:rsid w:val="008544CB"/>
    <w:rsid w:val="008561F6"/>
    <w:rsid w:val="008563A9"/>
    <w:rsid w:val="00860C58"/>
    <w:rsid w:val="00862782"/>
    <w:rsid w:val="00863EDD"/>
    <w:rsid w:val="0086721E"/>
    <w:rsid w:val="00867F11"/>
    <w:rsid w:val="00874AB8"/>
    <w:rsid w:val="008779F1"/>
    <w:rsid w:val="00883225"/>
    <w:rsid w:val="00884015"/>
    <w:rsid w:val="00884E18"/>
    <w:rsid w:val="0088564E"/>
    <w:rsid w:val="00887B4B"/>
    <w:rsid w:val="008908D7"/>
    <w:rsid w:val="008914DD"/>
    <w:rsid w:val="008A0453"/>
    <w:rsid w:val="008A4287"/>
    <w:rsid w:val="008A42F4"/>
    <w:rsid w:val="008A45B8"/>
    <w:rsid w:val="008A4870"/>
    <w:rsid w:val="008A5AEF"/>
    <w:rsid w:val="008B4670"/>
    <w:rsid w:val="008B7500"/>
    <w:rsid w:val="008C26E2"/>
    <w:rsid w:val="008C6A62"/>
    <w:rsid w:val="008D3782"/>
    <w:rsid w:val="008E074A"/>
    <w:rsid w:val="008E0D3D"/>
    <w:rsid w:val="008E6F90"/>
    <w:rsid w:val="008E79EA"/>
    <w:rsid w:val="008F3B25"/>
    <w:rsid w:val="008F4D01"/>
    <w:rsid w:val="009008F6"/>
    <w:rsid w:val="00901307"/>
    <w:rsid w:val="00903083"/>
    <w:rsid w:val="00903C59"/>
    <w:rsid w:val="00906A6D"/>
    <w:rsid w:val="009124E6"/>
    <w:rsid w:val="009127D6"/>
    <w:rsid w:val="0092156B"/>
    <w:rsid w:val="00921918"/>
    <w:rsid w:val="009248EA"/>
    <w:rsid w:val="00926088"/>
    <w:rsid w:val="00930E75"/>
    <w:rsid w:val="00931917"/>
    <w:rsid w:val="00934DEA"/>
    <w:rsid w:val="00934EA1"/>
    <w:rsid w:val="00935ECE"/>
    <w:rsid w:val="00936724"/>
    <w:rsid w:val="009374CA"/>
    <w:rsid w:val="009402D9"/>
    <w:rsid w:val="00940CBE"/>
    <w:rsid w:val="00941492"/>
    <w:rsid w:val="00944DDB"/>
    <w:rsid w:val="009470F0"/>
    <w:rsid w:val="00950614"/>
    <w:rsid w:val="00950DD8"/>
    <w:rsid w:val="00951506"/>
    <w:rsid w:val="009515E0"/>
    <w:rsid w:val="00951F2C"/>
    <w:rsid w:val="00954401"/>
    <w:rsid w:val="00956B26"/>
    <w:rsid w:val="009715EA"/>
    <w:rsid w:val="00972672"/>
    <w:rsid w:val="00975BE9"/>
    <w:rsid w:val="00977B1F"/>
    <w:rsid w:val="00977BA7"/>
    <w:rsid w:val="00984D57"/>
    <w:rsid w:val="00984FB8"/>
    <w:rsid w:val="009871C2"/>
    <w:rsid w:val="00991258"/>
    <w:rsid w:val="009952AE"/>
    <w:rsid w:val="00997C39"/>
    <w:rsid w:val="009A6BE9"/>
    <w:rsid w:val="009B01A5"/>
    <w:rsid w:val="009B186C"/>
    <w:rsid w:val="009B23E9"/>
    <w:rsid w:val="009B28C6"/>
    <w:rsid w:val="009B3D22"/>
    <w:rsid w:val="009B4182"/>
    <w:rsid w:val="009B41E1"/>
    <w:rsid w:val="009B4E34"/>
    <w:rsid w:val="009B4EF6"/>
    <w:rsid w:val="009B5573"/>
    <w:rsid w:val="009B6260"/>
    <w:rsid w:val="009C1A87"/>
    <w:rsid w:val="009C1F56"/>
    <w:rsid w:val="009C26D4"/>
    <w:rsid w:val="009C2785"/>
    <w:rsid w:val="009C3768"/>
    <w:rsid w:val="009D1D3B"/>
    <w:rsid w:val="009E272D"/>
    <w:rsid w:val="009E448B"/>
    <w:rsid w:val="009E5482"/>
    <w:rsid w:val="009F0172"/>
    <w:rsid w:val="009F2918"/>
    <w:rsid w:val="009F52ED"/>
    <w:rsid w:val="00A03FA9"/>
    <w:rsid w:val="00A04E39"/>
    <w:rsid w:val="00A06C97"/>
    <w:rsid w:val="00A250DD"/>
    <w:rsid w:val="00A30349"/>
    <w:rsid w:val="00A32BAA"/>
    <w:rsid w:val="00A35850"/>
    <w:rsid w:val="00A4315E"/>
    <w:rsid w:val="00A474FD"/>
    <w:rsid w:val="00A5031D"/>
    <w:rsid w:val="00A51153"/>
    <w:rsid w:val="00A53412"/>
    <w:rsid w:val="00A5500E"/>
    <w:rsid w:val="00A573B7"/>
    <w:rsid w:val="00A60322"/>
    <w:rsid w:val="00A614BA"/>
    <w:rsid w:val="00A63146"/>
    <w:rsid w:val="00A65422"/>
    <w:rsid w:val="00A66660"/>
    <w:rsid w:val="00A67261"/>
    <w:rsid w:val="00A7321B"/>
    <w:rsid w:val="00A75176"/>
    <w:rsid w:val="00A82F7D"/>
    <w:rsid w:val="00A865C3"/>
    <w:rsid w:val="00A869F1"/>
    <w:rsid w:val="00A87CA4"/>
    <w:rsid w:val="00A930E2"/>
    <w:rsid w:val="00A96532"/>
    <w:rsid w:val="00A97480"/>
    <w:rsid w:val="00A97CB4"/>
    <w:rsid w:val="00AA3091"/>
    <w:rsid w:val="00AA589F"/>
    <w:rsid w:val="00AA6A63"/>
    <w:rsid w:val="00AA7FC3"/>
    <w:rsid w:val="00AB01D1"/>
    <w:rsid w:val="00AB3D3D"/>
    <w:rsid w:val="00AB4399"/>
    <w:rsid w:val="00AB52CB"/>
    <w:rsid w:val="00AB7586"/>
    <w:rsid w:val="00AC0924"/>
    <w:rsid w:val="00AC1894"/>
    <w:rsid w:val="00AC670F"/>
    <w:rsid w:val="00AC7818"/>
    <w:rsid w:val="00AC79C9"/>
    <w:rsid w:val="00AD0011"/>
    <w:rsid w:val="00AD2850"/>
    <w:rsid w:val="00AD76DD"/>
    <w:rsid w:val="00AE392E"/>
    <w:rsid w:val="00AF04EE"/>
    <w:rsid w:val="00AF4363"/>
    <w:rsid w:val="00AF6897"/>
    <w:rsid w:val="00B001A0"/>
    <w:rsid w:val="00B001C3"/>
    <w:rsid w:val="00B0096D"/>
    <w:rsid w:val="00B01DD1"/>
    <w:rsid w:val="00B03383"/>
    <w:rsid w:val="00B034A0"/>
    <w:rsid w:val="00B102DC"/>
    <w:rsid w:val="00B137CF"/>
    <w:rsid w:val="00B15225"/>
    <w:rsid w:val="00B1542C"/>
    <w:rsid w:val="00B2773A"/>
    <w:rsid w:val="00B36A35"/>
    <w:rsid w:val="00B36AFD"/>
    <w:rsid w:val="00B434F4"/>
    <w:rsid w:val="00B44B4A"/>
    <w:rsid w:val="00B4545E"/>
    <w:rsid w:val="00B47C44"/>
    <w:rsid w:val="00B5385F"/>
    <w:rsid w:val="00B547CD"/>
    <w:rsid w:val="00B54C19"/>
    <w:rsid w:val="00B61A23"/>
    <w:rsid w:val="00B64970"/>
    <w:rsid w:val="00B65869"/>
    <w:rsid w:val="00B71BA2"/>
    <w:rsid w:val="00B71F53"/>
    <w:rsid w:val="00B738F7"/>
    <w:rsid w:val="00B73C50"/>
    <w:rsid w:val="00B74226"/>
    <w:rsid w:val="00B76ED2"/>
    <w:rsid w:val="00B770A5"/>
    <w:rsid w:val="00B808FA"/>
    <w:rsid w:val="00B809C7"/>
    <w:rsid w:val="00B86F1B"/>
    <w:rsid w:val="00B90455"/>
    <w:rsid w:val="00B9520E"/>
    <w:rsid w:val="00BA1AA0"/>
    <w:rsid w:val="00BA4966"/>
    <w:rsid w:val="00BA6366"/>
    <w:rsid w:val="00BB0D94"/>
    <w:rsid w:val="00BB62CC"/>
    <w:rsid w:val="00BC3CED"/>
    <w:rsid w:val="00BD02D2"/>
    <w:rsid w:val="00BD329D"/>
    <w:rsid w:val="00BD72AD"/>
    <w:rsid w:val="00BD74EC"/>
    <w:rsid w:val="00BE389D"/>
    <w:rsid w:val="00BE7BE3"/>
    <w:rsid w:val="00BF2AD4"/>
    <w:rsid w:val="00BF30BE"/>
    <w:rsid w:val="00BF4AB6"/>
    <w:rsid w:val="00BF7B6D"/>
    <w:rsid w:val="00C057F1"/>
    <w:rsid w:val="00C05B3F"/>
    <w:rsid w:val="00C12706"/>
    <w:rsid w:val="00C16C67"/>
    <w:rsid w:val="00C203AD"/>
    <w:rsid w:val="00C250C0"/>
    <w:rsid w:val="00C2529B"/>
    <w:rsid w:val="00C338F2"/>
    <w:rsid w:val="00C365C6"/>
    <w:rsid w:val="00C3787B"/>
    <w:rsid w:val="00C44296"/>
    <w:rsid w:val="00C4515A"/>
    <w:rsid w:val="00C45423"/>
    <w:rsid w:val="00C470CD"/>
    <w:rsid w:val="00C47970"/>
    <w:rsid w:val="00C47BF4"/>
    <w:rsid w:val="00C53B07"/>
    <w:rsid w:val="00C5493E"/>
    <w:rsid w:val="00C55E7B"/>
    <w:rsid w:val="00C55E7C"/>
    <w:rsid w:val="00C56A6F"/>
    <w:rsid w:val="00C570C4"/>
    <w:rsid w:val="00C61074"/>
    <w:rsid w:val="00C650DB"/>
    <w:rsid w:val="00C65924"/>
    <w:rsid w:val="00C72455"/>
    <w:rsid w:val="00C7297D"/>
    <w:rsid w:val="00C739C0"/>
    <w:rsid w:val="00C73D78"/>
    <w:rsid w:val="00C76D66"/>
    <w:rsid w:val="00C8078C"/>
    <w:rsid w:val="00C80A3E"/>
    <w:rsid w:val="00C8552E"/>
    <w:rsid w:val="00C86CF9"/>
    <w:rsid w:val="00C87C28"/>
    <w:rsid w:val="00C91654"/>
    <w:rsid w:val="00C92033"/>
    <w:rsid w:val="00C95856"/>
    <w:rsid w:val="00C95D4B"/>
    <w:rsid w:val="00C96982"/>
    <w:rsid w:val="00CA12E7"/>
    <w:rsid w:val="00CA1D63"/>
    <w:rsid w:val="00CA2E8A"/>
    <w:rsid w:val="00CA313D"/>
    <w:rsid w:val="00CA3B19"/>
    <w:rsid w:val="00CA3F8B"/>
    <w:rsid w:val="00CA78CA"/>
    <w:rsid w:val="00CC3BBA"/>
    <w:rsid w:val="00CD3471"/>
    <w:rsid w:val="00CD7693"/>
    <w:rsid w:val="00CE02E0"/>
    <w:rsid w:val="00CE08CF"/>
    <w:rsid w:val="00CE0F00"/>
    <w:rsid w:val="00CE1D0C"/>
    <w:rsid w:val="00CE5407"/>
    <w:rsid w:val="00CE59D2"/>
    <w:rsid w:val="00CE68A5"/>
    <w:rsid w:val="00CF65AB"/>
    <w:rsid w:val="00CF7992"/>
    <w:rsid w:val="00D04D35"/>
    <w:rsid w:val="00D067BE"/>
    <w:rsid w:val="00D07E73"/>
    <w:rsid w:val="00D151A7"/>
    <w:rsid w:val="00D214D6"/>
    <w:rsid w:val="00D24DB2"/>
    <w:rsid w:val="00D32A28"/>
    <w:rsid w:val="00D356B0"/>
    <w:rsid w:val="00D3621E"/>
    <w:rsid w:val="00D407F9"/>
    <w:rsid w:val="00D470F3"/>
    <w:rsid w:val="00D507EA"/>
    <w:rsid w:val="00D52256"/>
    <w:rsid w:val="00D56D89"/>
    <w:rsid w:val="00D6081D"/>
    <w:rsid w:val="00D6235C"/>
    <w:rsid w:val="00D638FB"/>
    <w:rsid w:val="00D6477B"/>
    <w:rsid w:val="00D65F29"/>
    <w:rsid w:val="00D66ECF"/>
    <w:rsid w:val="00D704A6"/>
    <w:rsid w:val="00D70CA7"/>
    <w:rsid w:val="00D72C00"/>
    <w:rsid w:val="00D74409"/>
    <w:rsid w:val="00D77092"/>
    <w:rsid w:val="00D775F3"/>
    <w:rsid w:val="00D80C30"/>
    <w:rsid w:val="00D811D3"/>
    <w:rsid w:val="00D822ED"/>
    <w:rsid w:val="00D838D4"/>
    <w:rsid w:val="00D84FD6"/>
    <w:rsid w:val="00D85504"/>
    <w:rsid w:val="00D90AAB"/>
    <w:rsid w:val="00D93DE1"/>
    <w:rsid w:val="00D977D3"/>
    <w:rsid w:val="00DA27A3"/>
    <w:rsid w:val="00DA2A77"/>
    <w:rsid w:val="00DA35E0"/>
    <w:rsid w:val="00DA3607"/>
    <w:rsid w:val="00DA6BCE"/>
    <w:rsid w:val="00DB0787"/>
    <w:rsid w:val="00DC1AC6"/>
    <w:rsid w:val="00DC6C76"/>
    <w:rsid w:val="00DD3E99"/>
    <w:rsid w:val="00DD52B6"/>
    <w:rsid w:val="00DD73C8"/>
    <w:rsid w:val="00DE2803"/>
    <w:rsid w:val="00DE33B3"/>
    <w:rsid w:val="00DE4846"/>
    <w:rsid w:val="00DE4D01"/>
    <w:rsid w:val="00DE7158"/>
    <w:rsid w:val="00DF324B"/>
    <w:rsid w:val="00DF38F1"/>
    <w:rsid w:val="00DF775C"/>
    <w:rsid w:val="00E0057E"/>
    <w:rsid w:val="00E0576B"/>
    <w:rsid w:val="00E065F7"/>
    <w:rsid w:val="00E0711D"/>
    <w:rsid w:val="00E12F39"/>
    <w:rsid w:val="00E13113"/>
    <w:rsid w:val="00E137B9"/>
    <w:rsid w:val="00E16E5D"/>
    <w:rsid w:val="00E20A02"/>
    <w:rsid w:val="00E23897"/>
    <w:rsid w:val="00E24B77"/>
    <w:rsid w:val="00E24F70"/>
    <w:rsid w:val="00E259E1"/>
    <w:rsid w:val="00E3524C"/>
    <w:rsid w:val="00E439D9"/>
    <w:rsid w:val="00E43CD2"/>
    <w:rsid w:val="00E478A8"/>
    <w:rsid w:val="00E50FC1"/>
    <w:rsid w:val="00E51AAE"/>
    <w:rsid w:val="00E5333F"/>
    <w:rsid w:val="00E53AFD"/>
    <w:rsid w:val="00E5674F"/>
    <w:rsid w:val="00E57A77"/>
    <w:rsid w:val="00E57F5C"/>
    <w:rsid w:val="00E62C16"/>
    <w:rsid w:val="00E67A20"/>
    <w:rsid w:val="00E71BE1"/>
    <w:rsid w:val="00E72319"/>
    <w:rsid w:val="00E73596"/>
    <w:rsid w:val="00E7640D"/>
    <w:rsid w:val="00E81834"/>
    <w:rsid w:val="00E81F07"/>
    <w:rsid w:val="00E83913"/>
    <w:rsid w:val="00E85AFD"/>
    <w:rsid w:val="00E90B82"/>
    <w:rsid w:val="00E9159A"/>
    <w:rsid w:val="00E91A78"/>
    <w:rsid w:val="00E9252F"/>
    <w:rsid w:val="00E92671"/>
    <w:rsid w:val="00E92995"/>
    <w:rsid w:val="00E92D8A"/>
    <w:rsid w:val="00E938C5"/>
    <w:rsid w:val="00EA396E"/>
    <w:rsid w:val="00EB2DD9"/>
    <w:rsid w:val="00EB5860"/>
    <w:rsid w:val="00EB7EBD"/>
    <w:rsid w:val="00EC6D08"/>
    <w:rsid w:val="00ED09B2"/>
    <w:rsid w:val="00ED21BE"/>
    <w:rsid w:val="00ED4843"/>
    <w:rsid w:val="00ED759B"/>
    <w:rsid w:val="00EE1746"/>
    <w:rsid w:val="00EE4ED1"/>
    <w:rsid w:val="00EF19BB"/>
    <w:rsid w:val="00EF2F03"/>
    <w:rsid w:val="00EF3315"/>
    <w:rsid w:val="00EF72F7"/>
    <w:rsid w:val="00F01D04"/>
    <w:rsid w:val="00F06475"/>
    <w:rsid w:val="00F07839"/>
    <w:rsid w:val="00F11930"/>
    <w:rsid w:val="00F1532F"/>
    <w:rsid w:val="00F209B0"/>
    <w:rsid w:val="00F26A88"/>
    <w:rsid w:val="00F26C50"/>
    <w:rsid w:val="00F27D54"/>
    <w:rsid w:val="00F304D8"/>
    <w:rsid w:val="00F312B1"/>
    <w:rsid w:val="00F3210E"/>
    <w:rsid w:val="00F322B1"/>
    <w:rsid w:val="00F363D3"/>
    <w:rsid w:val="00F371BD"/>
    <w:rsid w:val="00F40EF6"/>
    <w:rsid w:val="00F42F65"/>
    <w:rsid w:val="00F455F4"/>
    <w:rsid w:val="00F471FC"/>
    <w:rsid w:val="00F50877"/>
    <w:rsid w:val="00F52148"/>
    <w:rsid w:val="00F534B4"/>
    <w:rsid w:val="00F548BC"/>
    <w:rsid w:val="00F54907"/>
    <w:rsid w:val="00F61231"/>
    <w:rsid w:val="00F66829"/>
    <w:rsid w:val="00F720CB"/>
    <w:rsid w:val="00F74DC4"/>
    <w:rsid w:val="00F74E67"/>
    <w:rsid w:val="00F75D44"/>
    <w:rsid w:val="00F775BF"/>
    <w:rsid w:val="00F803ED"/>
    <w:rsid w:val="00F81CC1"/>
    <w:rsid w:val="00F85D74"/>
    <w:rsid w:val="00F86A03"/>
    <w:rsid w:val="00F87C26"/>
    <w:rsid w:val="00F87FE6"/>
    <w:rsid w:val="00F91753"/>
    <w:rsid w:val="00F923D4"/>
    <w:rsid w:val="00F97E75"/>
    <w:rsid w:val="00FA1091"/>
    <w:rsid w:val="00FA11EB"/>
    <w:rsid w:val="00FA1357"/>
    <w:rsid w:val="00FA2BE8"/>
    <w:rsid w:val="00FA2EBD"/>
    <w:rsid w:val="00FB3BE7"/>
    <w:rsid w:val="00FB4F4C"/>
    <w:rsid w:val="00FB6887"/>
    <w:rsid w:val="00FB7555"/>
    <w:rsid w:val="00FC10F7"/>
    <w:rsid w:val="00FC1E79"/>
    <w:rsid w:val="00FC2554"/>
    <w:rsid w:val="00FD7F70"/>
    <w:rsid w:val="00FE054E"/>
    <w:rsid w:val="00FE30E1"/>
    <w:rsid w:val="00FE5F47"/>
    <w:rsid w:val="00FE7AAC"/>
    <w:rsid w:val="00FF023D"/>
    <w:rsid w:val="00FF20FE"/>
    <w:rsid w:val="00FF446D"/>
    <w:rsid w:val="00FF4927"/>
    <w:rsid w:val="00FF55E3"/>
    <w:rsid w:val="00FF5709"/>
    <w:rsid w:val="00FF5E82"/>
    <w:rsid w:val="00FF7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C598E4E"/>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033BCE"/>
    <w:pPr>
      <w:keepNext/>
      <w:keepLines/>
      <w:spacing w:before="40" w:after="0" w:line="259" w:lineRule="auto"/>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 w:type="character" w:customStyle="1" w:styleId="Heading6Char">
    <w:name w:val="Heading 6 Char"/>
    <w:basedOn w:val="DefaultParagraphFont"/>
    <w:link w:val="Heading6"/>
    <w:uiPriority w:val="9"/>
    <w:semiHidden/>
    <w:rsid w:val="00033BCE"/>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24067F"/>
    <w:rPr>
      <w:b/>
      <w:bCs/>
    </w:rPr>
  </w:style>
  <w:style w:type="character" w:customStyle="1" w:styleId="titledefault">
    <w:name w:val="title_default"/>
    <w:basedOn w:val="DefaultParagraphFont"/>
    <w:rsid w:val="00EB7EBD"/>
  </w:style>
  <w:style w:type="character" w:customStyle="1" w:styleId="Subtitle1">
    <w:name w:val="Subtitle1"/>
    <w:basedOn w:val="DefaultParagraphFont"/>
    <w:rsid w:val="00EB7EBD"/>
  </w:style>
  <w:style w:type="character" w:customStyle="1" w:styleId="sr-t">
    <w:name w:val="sr-t"/>
    <w:basedOn w:val="DefaultParagraphFont"/>
    <w:rsid w:val="00EB7EBD"/>
  </w:style>
  <w:style w:type="character" w:styleId="Emphasis">
    <w:name w:val="Emphasis"/>
    <w:basedOn w:val="DefaultParagraphFont"/>
    <w:uiPriority w:val="20"/>
    <w:qFormat/>
    <w:rsid w:val="00EB7EBD"/>
    <w:rPr>
      <w:i/>
      <w:iCs/>
    </w:rPr>
  </w:style>
  <w:style w:type="character" w:customStyle="1" w:styleId="meta-citation">
    <w:name w:val="meta-citation"/>
    <w:basedOn w:val="DefaultParagraphFont"/>
    <w:rsid w:val="00EB7EBD"/>
  </w:style>
  <w:style w:type="paragraph" w:customStyle="1" w:styleId="para">
    <w:name w:val="para"/>
    <w:basedOn w:val="Normal"/>
    <w:rsid w:val="00EB7EBD"/>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xref-bibr">
    <w:name w:val="xref-bibr"/>
    <w:basedOn w:val="DefaultParagraphFont"/>
    <w:rsid w:val="0003070B"/>
  </w:style>
  <w:style w:type="table" w:styleId="TableGrid">
    <w:name w:val="Table Grid"/>
    <w:basedOn w:val="TableNormal"/>
    <w:uiPriority w:val="59"/>
    <w:rsid w:val="00D04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wire-cite-title">
    <w:name w:val="highwire-cite-title"/>
    <w:basedOn w:val="DefaultParagraphFont"/>
    <w:rsid w:val="00CA313D"/>
  </w:style>
  <w:style w:type="character" w:customStyle="1" w:styleId="published-date">
    <w:name w:val="published-date"/>
    <w:basedOn w:val="DefaultParagraphFont"/>
    <w:rsid w:val="00F91753"/>
  </w:style>
  <w:style w:type="paragraph" w:customStyle="1" w:styleId="f-body">
    <w:name w:val="f-body"/>
    <w:basedOn w:val="Normal"/>
    <w:rsid w:val="00EE1746"/>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3520195">
      <w:bodyDiv w:val="1"/>
      <w:marLeft w:val="0"/>
      <w:marRight w:val="0"/>
      <w:marTop w:val="0"/>
      <w:marBottom w:val="0"/>
      <w:divBdr>
        <w:top w:val="none" w:sz="0" w:space="0" w:color="auto"/>
        <w:left w:val="none" w:sz="0" w:space="0" w:color="auto"/>
        <w:bottom w:val="none" w:sz="0" w:space="0" w:color="auto"/>
        <w:right w:val="none" w:sz="0" w:space="0" w:color="auto"/>
      </w:divBdr>
      <w:divsChild>
        <w:div w:id="662121105">
          <w:marLeft w:val="0"/>
          <w:marRight w:val="0"/>
          <w:marTop w:val="0"/>
          <w:marBottom w:val="0"/>
          <w:divBdr>
            <w:top w:val="none" w:sz="0" w:space="0" w:color="auto"/>
            <w:left w:val="none" w:sz="0" w:space="0" w:color="auto"/>
            <w:bottom w:val="none" w:sz="0" w:space="0" w:color="auto"/>
            <w:right w:val="none" w:sz="0" w:space="0" w:color="auto"/>
          </w:divBdr>
          <w:divsChild>
            <w:div w:id="135294898">
              <w:marLeft w:val="0"/>
              <w:marRight w:val="0"/>
              <w:marTop w:val="0"/>
              <w:marBottom w:val="0"/>
              <w:divBdr>
                <w:top w:val="none" w:sz="0" w:space="0" w:color="auto"/>
                <w:left w:val="none" w:sz="0" w:space="0" w:color="auto"/>
                <w:bottom w:val="none" w:sz="0" w:space="0" w:color="auto"/>
                <w:right w:val="none" w:sz="0" w:space="0" w:color="auto"/>
              </w:divBdr>
              <w:divsChild>
                <w:div w:id="365641736">
                  <w:marLeft w:val="0"/>
                  <w:marRight w:val="0"/>
                  <w:marTop w:val="0"/>
                  <w:marBottom w:val="0"/>
                  <w:divBdr>
                    <w:top w:val="none" w:sz="0" w:space="0" w:color="auto"/>
                    <w:left w:val="none" w:sz="0" w:space="0" w:color="auto"/>
                    <w:bottom w:val="none" w:sz="0" w:space="0" w:color="auto"/>
                    <w:right w:val="none" w:sz="0" w:space="0" w:color="auto"/>
                  </w:divBdr>
                  <w:divsChild>
                    <w:div w:id="753866127">
                      <w:marLeft w:val="0"/>
                      <w:marRight w:val="0"/>
                      <w:marTop w:val="0"/>
                      <w:marBottom w:val="0"/>
                      <w:divBdr>
                        <w:top w:val="none" w:sz="0" w:space="0" w:color="auto"/>
                        <w:left w:val="none" w:sz="0" w:space="0" w:color="auto"/>
                        <w:bottom w:val="none" w:sz="0" w:space="0" w:color="auto"/>
                        <w:right w:val="none" w:sz="0" w:space="0" w:color="auto"/>
                      </w:divBdr>
                      <w:divsChild>
                        <w:div w:id="1846820446">
                          <w:marLeft w:val="0"/>
                          <w:marRight w:val="0"/>
                          <w:marTop w:val="0"/>
                          <w:marBottom w:val="0"/>
                          <w:divBdr>
                            <w:top w:val="none" w:sz="0" w:space="0" w:color="auto"/>
                            <w:left w:val="none" w:sz="0" w:space="0" w:color="auto"/>
                            <w:bottom w:val="none" w:sz="0" w:space="0" w:color="auto"/>
                            <w:right w:val="none" w:sz="0" w:space="0" w:color="auto"/>
                          </w:divBdr>
                          <w:divsChild>
                            <w:div w:id="1492212585">
                              <w:marLeft w:val="0"/>
                              <w:marRight w:val="0"/>
                              <w:marTop w:val="0"/>
                              <w:marBottom w:val="0"/>
                              <w:divBdr>
                                <w:top w:val="none" w:sz="0" w:space="0" w:color="auto"/>
                                <w:left w:val="none" w:sz="0" w:space="0" w:color="auto"/>
                                <w:bottom w:val="none" w:sz="0" w:space="0" w:color="auto"/>
                                <w:right w:val="none" w:sz="0" w:space="0" w:color="auto"/>
                              </w:divBdr>
                              <w:divsChild>
                                <w:div w:id="707529671">
                                  <w:marLeft w:val="0"/>
                                  <w:marRight w:val="0"/>
                                  <w:marTop w:val="0"/>
                                  <w:marBottom w:val="0"/>
                                  <w:divBdr>
                                    <w:top w:val="none" w:sz="0" w:space="0" w:color="auto"/>
                                    <w:left w:val="none" w:sz="0" w:space="0" w:color="auto"/>
                                    <w:bottom w:val="none" w:sz="0" w:space="0" w:color="auto"/>
                                    <w:right w:val="none" w:sz="0" w:space="0" w:color="auto"/>
                                  </w:divBdr>
                                  <w:divsChild>
                                    <w:div w:id="323360167">
                                      <w:marLeft w:val="0"/>
                                      <w:marRight w:val="0"/>
                                      <w:marTop w:val="0"/>
                                      <w:marBottom w:val="0"/>
                                      <w:divBdr>
                                        <w:top w:val="none" w:sz="0" w:space="0" w:color="auto"/>
                                        <w:left w:val="none" w:sz="0" w:space="0" w:color="auto"/>
                                        <w:bottom w:val="none" w:sz="0" w:space="0" w:color="auto"/>
                                        <w:right w:val="none" w:sz="0" w:space="0" w:color="auto"/>
                                      </w:divBdr>
                                      <w:divsChild>
                                        <w:div w:id="1979146461">
                                          <w:marLeft w:val="0"/>
                                          <w:marRight w:val="0"/>
                                          <w:marTop w:val="0"/>
                                          <w:marBottom w:val="0"/>
                                          <w:divBdr>
                                            <w:top w:val="none" w:sz="0" w:space="0" w:color="auto"/>
                                            <w:left w:val="none" w:sz="0" w:space="0" w:color="auto"/>
                                            <w:bottom w:val="none" w:sz="0" w:space="0" w:color="auto"/>
                                            <w:right w:val="none" w:sz="0" w:space="0" w:color="auto"/>
                                          </w:divBdr>
                                          <w:divsChild>
                                            <w:div w:id="1449272712">
                                              <w:marLeft w:val="0"/>
                                              <w:marRight w:val="0"/>
                                              <w:marTop w:val="0"/>
                                              <w:marBottom w:val="0"/>
                                              <w:divBdr>
                                                <w:top w:val="none" w:sz="0" w:space="0" w:color="auto"/>
                                                <w:left w:val="none" w:sz="0" w:space="0" w:color="auto"/>
                                                <w:bottom w:val="none" w:sz="0" w:space="0" w:color="auto"/>
                                                <w:right w:val="none" w:sz="0" w:space="0" w:color="auto"/>
                                              </w:divBdr>
                                              <w:divsChild>
                                                <w:div w:id="976685486">
                                                  <w:marLeft w:val="0"/>
                                                  <w:marRight w:val="0"/>
                                                  <w:marTop w:val="0"/>
                                                  <w:marBottom w:val="0"/>
                                                  <w:divBdr>
                                                    <w:top w:val="none" w:sz="0" w:space="0" w:color="auto"/>
                                                    <w:left w:val="none" w:sz="0" w:space="0" w:color="auto"/>
                                                    <w:bottom w:val="none" w:sz="0" w:space="0" w:color="auto"/>
                                                    <w:right w:val="none" w:sz="0" w:space="0" w:color="auto"/>
                                                  </w:divBdr>
                                                  <w:divsChild>
                                                    <w:div w:id="1477797109">
                                                      <w:marLeft w:val="0"/>
                                                      <w:marRight w:val="0"/>
                                                      <w:marTop w:val="0"/>
                                                      <w:marBottom w:val="0"/>
                                                      <w:divBdr>
                                                        <w:top w:val="none" w:sz="0" w:space="0" w:color="auto"/>
                                                        <w:left w:val="none" w:sz="0" w:space="0" w:color="auto"/>
                                                        <w:bottom w:val="none" w:sz="0" w:space="0" w:color="auto"/>
                                                        <w:right w:val="none" w:sz="0" w:space="0" w:color="auto"/>
                                                      </w:divBdr>
                                                      <w:divsChild>
                                                        <w:div w:id="861091723">
                                                          <w:marLeft w:val="0"/>
                                                          <w:marRight w:val="0"/>
                                                          <w:marTop w:val="0"/>
                                                          <w:marBottom w:val="0"/>
                                                          <w:divBdr>
                                                            <w:top w:val="none" w:sz="0" w:space="0" w:color="auto"/>
                                                            <w:left w:val="none" w:sz="0" w:space="0" w:color="auto"/>
                                                            <w:bottom w:val="none" w:sz="0" w:space="0" w:color="auto"/>
                                                            <w:right w:val="none" w:sz="0" w:space="0" w:color="auto"/>
                                                          </w:divBdr>
                                                          <w:divsChild>
                                                            <w:div w:id="1684474211">
                                                              <w:marLeft w:val="0"/>
                                                              <w:marRight w:val="0"/>
                                                              <w:marTop w:val="0"/>
                                                              <w:marBottom w:val="0"/>
                                                              <w:divBdr>
                                                                <w:top w:val="none" w:sz="0" w:space="0" w:color="auto"/>
                                                                <w:left w:val="none" w:sz="0" w:space="0" w:color="auto"/>
                                                                <w:bottom w:val="none" w:sz="0" w:space="0" w:color="auto"/>
                                                                <w:right w:val="none" w:sz="0" w:space="0" w:color="auto"/>
                                                              </w:divBdr>
                                                              <w:divsChild>
                                                                <w:div w:id="143812971">
                                                                  <w:marLeft w:val="0"/>
                                                                  <w:marRight w:val="0"/>
                                                                  <w:marTop w:val="0"/>
                                                                  <w:marBottom w:val="0"/>
                                                                  <w:divBdr>
                                                                    <w:top w:val="none" w:sz="0" w:space="0" w:color="auto"/>
                                                                    <w:left w:val="none" w:sz="0" w:space="0" w:color="auto"/>
                                                                    <w:bottom w:val="none" w:sz="0" w:space="0" w:color="auto"/>
                                                                    <w:right w:val="none" w:sz="0" w:space="0" w:color="auto"/>
                                                                  </w:divBdr>
                                                                  <w:divsChild>
                                                                    <w:div w:id="465780854">
                                                                      <w:marLeft w:val="0"/>
                                                                      <w:marRight w:val="0"/>
                                                                      <w:marTop w:val="0"/>
                                                                      <w:marBottom w:val="0"/>
                                                                      <w:divBdr>
                                                                        <w:top w:val="none" w:sz="0" w:space="0" w:color="auto"/>
                                                                        <w:left w:val="none" w:sz="0" w:space="0" w:color="auto"/>
                                                                        <w:bottom w:val="none" w:sz="0" w:space="0" w:color="auto"/>
                                                                        <w:right w:val="none" w:sz="0" w:space="0" w:color="auto"/>
                                                                      </w:divBdr>
                                                                      <w:divsChild>
                                                                        <w:div w:id="478157943">
                                                                          <w:marLeft w:val="0"/>
                                                                          <w:marRight w:val="0"/>
                                                                          <w:marTop w:val="0"/>
                                                                          <w:marBottom w:val="0"/>
                                                                          <w:divBdr>
                                                                            <w:top w:val="none" w:sz="0" w:space="0" w:color="auto"/>
                                                                            <w:left w:val="none" w:sz="0" w:space="0" w:color="auto"/>
                                                                            <w:bottom w:val="none" w:sz="0" w:space="0" w:color="auto"/>
                                                                            <w:right w:val="none" w:sz="0" w:space="0" w:color="auto"/>
                                                                          </w:divBdr>
                                                                          <w:divsChild>
                                                                            <w:div w:id="1431856059">
                                                                              <w:marLeft w:val="0"/>
                                                                              <w:marRight w:val="0"/>
                                                                              <w:marTop w:val="0"/>
                                                                              <w:marBottom w:val="0"/>
                                                                              <w:divBdr>
                                                                                <w:top w:val="none" w:sz="0" w:space="0" w:color="auto"/>
                                                                                <w:left w:val="none" w:sz="0" w:space="0" w:color="auto"/>
                                                                                <w:bottom w:val="none" w:sz="0" w:space="0" w:color="auto"/>
                                                                                <w:right w:val="none" w:sz="0" w:space="0" w:color="auto"/>
                                                                              </w:divBdr>
                                                                              <w:divsChild>
                                                                                <w:div w:id="174996790">
                                                                                  <w:marLeft w:val="0"/>
                                                                                  <w:marRight w:val="0"/>
                                                                                  <w:marTop w:val="0"/>
                                                                                  <w:marBottom w:val="0"/>
                                                                                  <w:divBdr>
                                                                                    <w:top w:val="none" w:sz="0" w:space="0" w:color="auto"/>
                                                                                    <w:left w:val="none" w:sz="0" w:space="0" w:color="auto"/>
                                                                                    <w:bottom w:val="none" w:sz="0" w:space="0" w:color="auto"/>
                                                                                    <w:right w:val="none" w:sz="0" w:space="0" w:color="auto"/>
                                                                                  </w:divBdr>
                                                                                  <w:divsChild>
                                                                                    <w:div w:id="294799075">
                                                                                      <w:marLeft w:val="0"/>
                                                                                      <w:marRight w:val="0"/>
                                                                                      <w:marTop w:val="0"/>
                                                                                      <w:marBottom w:val="0"/>
                                                                                      <w:divBdr>
                                                                                        <w:top w:val="none" w:sz="0" w:space="0" w:color="auto"/>
                                                                                        <w:left w:val="none" w:sz="0" w:space="0" w:color="auto"/>
                                                                                        <w:bottom w:val="none" w:sz="0" w:space="0" w:color="auto"/>
                                                                                        <w:right w:val="none" w:sz="0" w:space="0" w:color="auto"/>
                                                                                      </w:divBdr>
                                                                                      <w:divsChild>
                                                                                        <w:div w:id="67372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67502">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46632340">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185096973">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12617001">
      <w:bodyDiv w:val="1"/>
      <w:marLeft w:val="0"/>
      <w:marRight w:val="0"/>
      <w:marTop w:val="0"/>
      <w:marBottom w:val="0"/>
      <w:divBdr>
        <w:top w:val="none" w:sz="0" w:space="0" w:color="auto"/>
        <w:left w:val="none" w:sz="0" w:space="0" w:color="auto"/>
        <w:bottom w:val="none" w:sz="0" w:space="0" w:color="auto"/>
        <w:right w:val="none" w:sz="0" w:space="0" w:color="auto"/>
      </w:divBdr>
      <w:divsChild>
        <w:div w:id="1723870221">
          <w:marLeft w:val="0"/>
          <w:marRight w:val="0"/>
          <w:marTop w:val="0"/>
          <w:marBottom w:val="0"/>
          <w:divBdr>
            <w:top w:val="none" w:sz="0" w:space="0" w:color="auto"/>
            <w:left w:val="none" w:sz="0" w:space="0" w:color="auto"/>
            <w:bottom w:val="none" w:sz="0" w:space="0" w:color="auto"/>
            <w:right w:val="none" w:sz="0" w:space="0" w:color="auto"/>
          </w:divBdr>
          <w:divsChild>
            <w:div w:id="495652187">
              <w:marLeft w:val="0"/>
              <w:marRight w:val="0"/>
              <w:marTop w:val="0"/>
              <w:marBottom w:val="0"/>
              <w:divBdr>
                <w:top w:val="none" w:sz="0" w:space="0" w:color="auto"/>
                <w:left w:val="none" w:sz="0" w:space="0" w:color="auto"/>
                <w:bottom w:val="none" w:sz="0" w:space="0" w:color="auto"/>
                <w:right w:val="none" w:sz="0" w:space="0" w:color="auto"/>
              </w:divBdr>
              <w:divsChild>
                <w:div w:id="1554928763">
                  <w:marLeft w:val="0"/>
                  <w:marRight w:val="0"/>
                  <w:marTop w:val="0"/>
                  <w:marBottom w:val="0"/>
                  <w:divBdr>
                    <w:top w:val="none" w:sz="0" w:space="0" w:color="auto"/>
                    <w:left w:val="none" w:sz="0" w:space="0" w:color="auto"/>
                    <w:bottom w:val="none" w:sz="0" w:space="0" w:color="auto"/>
                    <w:right w:val="none" w:sz="0" w:space="0" w:color="auto"/>
                  </w:divBdr>
                  <w:divsChild>
                    <w:div w:id="853811738">
                      <w:marLeft w:val="0"/>
                      <w:marRight w:val="0"/>
                      <w:marTop w:val="0"/>
                      <w:marBottom w:val="0"/>
                      <w:divBdr>
                        <w:top w:val="none" w:sz="0" w:space="0" w:color="auto"/>
                        <w:left w:val="none" w:sz="0" w:space="0" w:color="auto"/>
                        <w:bottom w:val="none" w:sz="0" w:space="0" w:color="auto"/>
                        <w:right w:val="none" w:sz="0" w:space="0" w:color="auto"/>
                      </w:divBdr>
                      <w:divsChild>
                        <w:div w:id="1210143668">
                          <w:marLeft w:val="0"/>
                          <w:marRight w:val="0"/>
                          <w:marTop w:val="0"/>
                          <w:marBottom w:val="0"/>
                          <w:divBdr>
                            <w:top w:val="none" w:sz="0" w:space="0" w:color="auto"/>
                            <w:left w:val="none" w:sz="0" w:space="0" w:color="auto"/>
                            <w:bottom w:val="none" w:sz="0" w:space="0" w:color="auto"/>
                            <w:right w:val="none" w:sz="0" w:space="0" w:color="auto"/>
                          </w:divBdr>
                          <w:divsChild>
                            <w:div w:id="2066488971">
                              <w:marLeft w:val="0"/>
                              <w:marRight w:val="0"/>
                              <w:marTop w:val="0"/>
                              <w:marBottom w:val="0"/>
                              <w:divBdr>
                                <w:top w:val="none" w:sz="0" w:space="0" w:color="auto"/>
                                <w:left w:val="none" w:sz="0" w:space="0" w:color="auto"/>
                                <w:bottom w:val="none" w:sz="0" w:space="0" w:color="auto"/>
                                <w:right w:val="none" w:sz="0" w:space="0" w:color="auto"/>
                              </w:divBdr>
                              <w:divsChild>
                                <w:div w:id="508446995">
                                  <w:marLeft w:val="0"/>
                                  <w:marRight w:val="0"/>
                                  <w:marTop w:val="0"/>
                                  <w:marBottom w:val="0"/>
                                  <w:divBdr>
                                    <w:top w:val="none" w:sz="0" w:space="0" w:color="auto"/>
                                    <w:left w:val="none" w:sz="0" w:space="0" w:color="auto"/>
                                    <w:bottom w:val="none" w:sz="0" w:space="0" w:color="auto"/>
                                    <w:right w:val="none" w:sz="0" w:space="0" w:color="auto"/>
                                  </w:divBdr>
                                  <w:divsChild>
                                    <w:div w:id="1588340816">
                                      <w:marLeft w:val="0"/>
                                      <w:marRight w:val="0"/>
                                      <w:marTop w:val="0"/>
                                      <w:marBottom w:val="0"/>
                                      <w:divBdr>
                                        <w:top w:val="none" w:sz="0" w:space="0" w:color="auto"/>
                                        <w:left w:val="none" w:sz="0" w:space="0" w:color="auto"/>
                                        <w:bottom w:val="none" w:sz="0" w:space="0" w:color="auto"/>
                                        <w:right w:val="none" w:sz="0" w:space="0" w:color="auto"/>
                                      </w:divBdr>
                                      <w:divsChild>
                                        <w:div w:id="21059296">
                                          <w:marLeft w:val="0"/>
                                          <w:marRight w:val="0"/>
                                          <w:marTop w:val="0"/>
                                          <w:marBottom w:val="0"/>
                                          <w:divBdr>
                                            <w:top w:val="none" w:sz="0" w:space="0" w:color="auto"/>
                                            <w:left w:val="none" w:sz="0" w:space="0" w:color="auto"/>
                                            <w:bottom w:val="none" w:sz="0" w:space="0" w:color="auto"/>
                                            <w:right w:val="none" w:sz="0" w:space="0" w:color="auto"/>
                                          </w:divBdr>
                                          <w:divsChild>
                                            <w:div w:id="2141075136">
                                              <w:marLeft w:val="0"/>
                                              <w:marRight w:val="0"/>
                                              <w:marTop w:val="0"/>
                                              <w:marBottom w:val="0"/>
                                              <w:divBdr>
                                                <w:top w:val="none" w:sz="0" w:space="0" w:color="auto"/>
                                                <w:left w:val="none" w:sz="0" w:space="0" w:color="auto"/>
                                                <w:bottom w:val="none" w:sz="0" w:space="0" w:color="auto"/>
                                                <w:right w:val="none" w:sz="0" w:space="0" w:color="auto"/>
                                              </w:divBdr>
                                              <w:divsChild>
                                                <w:div w:id="1593780227">
                                                  <w:marLeft w:val="0"/>
                                                  <w:marRight w:val="0"/>
                                                  <w:marTop w:val="0"/>
                                                  <w:marBottom w:val="0"/>
                                                  <w:divBdr>
                                                    <w:top w:val="none" w:sz="0" w:space="0" w:color="auto"/>
                                                    <w:left w:val="none" w:sz="0" w:space="0" w:color="auto"/>
                                                    <w:bottom w:val="none" w:sz="0" w:space="0" w:color="auto"/>
                                                    <w:right w:val="none" w:sz="0" w:space="0" w:color="auto"/>
                                                  </w:divBdr>
                                                  <w:divsChild>
                                                    <w:div w:id="923952464">
                                                      <w:marLeft w:val="0"/>
                                                      <w:marRight w:val="0"/>
                                                      <w:marTop w:val="0"/>
                                                      <w:marBottom w:val="0"/>
                                                      <w:divBdr>
                                                        <w:top w:val="none" w:sz="0" w:space="0" w:color="auto"/>
                                                        <w:left w:val="none" w:sz="0" w:space="0" w:color="auto"/>
                                                        <w:bottom w:val="none" w:sz="0" w:space="0" w:color="auto"/>
                                                        <w:right w:val="none" w:sz="0" w:space="0" w:color="auto"/>
                                                      </w:divBdr>
                                                      <w:divsChild>
                                                        <w:div w:id="1258757177">
                                                          <w:marLeft w:val="0"/>
                                                          <w:marRight w:val="0"/>
                                                          <w:marTop w:val="0"/>
                                                          <w:marBottom w:val="0"/>
                                                          <w:divBdr>
                                                            <w:top w:val="none" w:sz="0" w:space="0" w:color="auto"/>
                                                            <w:left w:val="none" w:sz="0" w:space="0" w:color="auto"/>
                                                            <w:bottom w:val="none" w:sz="0" w:space="0" w:color="auto"/>
                                                            <w:right w:val="none" w:sz="0" w:space="0" w:color="auto"/>
                                                          </w:divBdr>
                                                          <w:divsChild>
                                                            <w:div w:id="1928029533">
                                                              <w:marLeft w:val="0"/>
                                                              <w:marRight w:val="0"/>
                                                              <w:marTop w:val="0"/>
                                                              <w:marBottom w:val="0"/>
                                                              <w:divBdr>
                                                                <w:top w:val="none" w:sz="0" w:space="0" w:color="auto"/>
                                                                <w:left w:val="none" w:sz="0" w:space="0" w:color="auto"/>
                                                                <w:bottom w:val="none" w:sz="0" w:space="0" w:color="auto"/>
                                                                <w:right w:val="none" w:sz="0" w:space="0" w:color="auto"/>
                                                              </w:divBdr>
                                                              <w:divsChild>
                                                                <w:div w:id="895700974">
                                                                  <w:marLeft w:val="0"/>
                                                                  <w:marRight w:val="0"/>
                                                                  <w:marTop w:val="0"/>
                                                                  <w:marBottom w:val="0"/>
                                                                  <w:divBdr>
                                                                    <w:top w:val="none" w:sz="0" w:space="0" w:color="auto"/>
                                                                    <w:left w:val="none" w:sz="0" w:space="0" w:color="auto"/>
                                                                    <w:bottom w:val="none" w:sz="0" w:space="0" w:color="auto"/>
                                                                    <w:right w:val="none" w:sz="0" w:space="0" w:color="auto"/>
                                                                  </w:divBdr>
                                                                  <w:divsChild>
                                                                    <w:div w:id="1717387196">
                                                                      <w:marLeft w:val="0"/>
                                                                      <w:marRight w:val="0"/>
                                                                      <w:marTop w:val="0"/>
                                                                      <w:marBottom w:val="0"/>
                                                                      <w:divBdr>
                                                                        <w:top w:val="none" w:sz="0" w:space="0" w:color="auto"/>
                                                                        <w:left w:val="none" w:sz="0" w:space="0" w:color="auto"/>
                                                                        <w:bottom w:val="none" w:sz="0" w:space="0" w:color="auto"/>
                                                                        <w:right w:val="none" w:sz="0" w:space="0" w:color="auto"/>
                                                                      </w:divBdr>
                                                                      <w:divsChild>
                                                                        <w:div w:id="277876706">
                                                                          <w:marLeft w:val="0"/>
                                                                          <w:marRight w:val="0"/>
                                                                          <w:marTop w:val="0"/>
                                                                          <w:marBottom w:val="0"/>
                                                                          <w:divBdr>
                                                                            <w:top w:val="none" w:sz="0" w:space="0" w:color="auto"/>
                                                                            <w:left w:val="none" w:sz="0" w:space="0" w:color="auto"/>
                                                                            <w:bottom w:val="none" w:sz="0" w:space="0" w:color="auto"/>
                                                                            <w:right w:val="none" w:sz="0" w:space="0" w:color="auto"/>
                                                                          </w:divBdr>
                                                                          <w:divsChild>
                                                                            <w:div w:id="1947157346">
                                                                              <w:marLeft w:val="0"/>
                                                                              <w:marRight w:val="0"/>
                                                                              <w:marTop w:val="0"/>
                                                                              <w:marBottom w:val="0"/>
                                                                              <w:divBdr>
                                                                                <w:top w:val="none" w:sz="0" w:space="0" w:color="auto"/>
                                                                                <w:left w:val="none" w:sz="0" w:space="0" w:color="auto"/>
                                                                                <w:bottom w:val="none" w:sz="0" w:space="0" w:color="auto"/>
                                                                                <w:right w:val="none" w:sz="0" w:space="0" w:color="auto"/>
                                                                              </w:divBdr>
                                                                              <w:divsChild>
                                                                                <w:div w:id="1591043292">
                                                                                  <w:marLeft w:val="0"/>
                                                                                  <w:marRight w:val="0"/>
                                                                                  <w:marTop w:val="0"/>
                                                                                  <w:marBottom w:val="0"/>
                                                                                  <w:divBdr>
                                                                                    <w:top w:val="none" w:sz="0" w:space="0" w:color="auto"/>
                                                                                    <w:left w:val="none" w:sz="0" w:space="0" w:color="auto"/>
                                                                                    <w:bottom w:val="none" w:sz="0" w:space="0" w:color="auto"/>
                                                                                    <w:right w:val="none" w:sz="0" w:space="0" w:color="auto"/>
                                                                                  </w:divBdr>
                                                                                  <w:divsChild>
                                                                                    <w:div w:id="13568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64002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3834960">
      <w:bodyDiv w:val="1"/>
      <w:marLeft w:val="0"/>
      <w:marRight w:val="0"/>
      <w:marTop w:val="0"/>
      <w:marBottom w:val="0"/>
      <w:divBdr>
        <w:top w:val="none" w:sz="0" w:space="0" w:color="auto"/>
        <w:left w:val="none" w:sz="0" w:space="0" w:color="auto"/>
        <w:bottom w:val="none" w:sz="0" w:space="0" w:color="auto"/>
        <w:right w:val="none" w:sz="0" w:space="0" w:color="auto"/>
      </w:divBdr>
      <w:divsChild>
        <w:div w:id="1224835040">
          <w:marLeft w:val="0"/>
          <w:marRight w:val="0"/>
          <w:marTop w:val="150"/>
          <w:marBottom w:val="270"/>
          <w:divBdr>
            <w:top w:val="none" w:sz="0" w:space="0" w:color="auto"/>
            <w:left w:val="none" w:sz="0" w:space="0" w:color="auto"/>
            <w:bottom w:val="none" w:sz="0" w:space="0" w:color="auto"/>
            <w:right w:val="none" w:sz="0" w:space="0" w:color="auto"/>
          </w:divBdr>
        </w:div>
        <w:div w:id="1781490265">
          <w:marLeft w:val="0"/>
          <w:marRight w:val="0"/>
          <w:marTop w:val="150"/>
          <w:marBottom w:val="270"/>
          <w:divBdr>
            <w:top w:val="none" w:sz="0" w:space="0" w:color="auto"/>
            <w:left w:val="none" w:sz="0" w:space="0" w:color="auto"/>
            <w:bottom w:val="none" w:sz="0" w:space="0" w:color="auto"/>
            <w:right w:val="none" w:sz="0" w:space="0" w:color="auto"/>
          </w:divBdr>
        </w:div>
      </w:divsChild>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23434942">
      <w:bodyDiv w:val="1"/>
      <w:marLeft w:val="0"/>
      <w:marRight w:val="0"/>
      <w:marTop w:val="0"/>
      <w:marBottom w:val="0"/>
      <w:divBdr>
        <w:top w:val="none" w:sz="0" w:space="0" w:color="auto"/>
        <w:left w:val="none" w:sz="0" w:space="0" w:color="auto"/>
        <w:bottom w:val="none" w:sz="0" w:space="0" w:color="auto"/>
        <w:right w:val="none" w:sz="0" w:space="0" w:color="auto"/>
      </w:divBdr>
    </w:div>
    <w:div w:id="328558943">
      <w:bodyDiv w:val="1"/>
      <w:marLeft w:val="0"/>
      <w:marRight w:val="0"/>
      <w:marTop w:val="0"/>
      <w:marBottom w:val="0"/>
      <w:divBdr>
        <w:top w:val="none" w:sz="0" w:space="0" w:color="auto"/>
        <w:left w:val="none" w:sz="0" w:space="0" w:color="auto"/>
        <w:bottom w:val="none" w:sz="0" w:space="0" w:color="auto"/>
        <w:right w:val="none" w:sz="0" w:space="0" w:color="auto"/>
      </w:divBdr>
      <w:divsChild>
        <w:div w:id="1292832703">
          <w:marLeft w:val="0"/>
          <w:marRight w:val="0"/>
          <w:marTop w:val="0"/>
          <w:marBottom w:val="0"/>
          <w:divBdr>
            <w:top w:val="none" w:sz="0" w:space="0" w:color="auto"/>
            <w:left w:val="none" w:sz="0" w:space="0" w:color="auto"/>
            <w:bottom w:val="none" w:sz="0" w:space="0" w:color="auto"/>
            <w:right w:val="none" w:sz="0" w:space="0" w:color="auto"/>
          </w:divBdr>
        </w:div>
      </w:divsChild>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3165634">
      <w:bodyDiv w:val="1"/>
      <w:marLeft w:val="0"/>
      <w:marRight w:val="0"/>
      <w:marTop w:val="0"/>
      <w:marBottom w:val="0"/>
      <w:divBdr>
        <w:top w:val="none" w:sz="0" w:space="0" w:color="auto"/>
        <w:left w:val="none" w:sz="0" w:space="0" w:color="auto"/>
        <w:bottom w:val="none" w:sz="0" w:space="0" w:color="auto"/>
        <w:right w:val="none" w:sz="0" w:space="0" w:color="auto"/>
      </w:divBdr>
      <w:divsChild>
        <w:div w:id="1795706776">
          <w:marLeft w:val="0"/>
          <w:marRight w:val="0"/>
          <w:marTop w:val="15"/>
          <w:marBottom w:val="0"/>
          <w:divBdr>
            <w:top w:val="none" w:sz="0" w:space="0" w:color="auto"/>
            <w:left w:val="none" w:sz="0" w:space="0" w:color="auto"/>
            <w:bottom w:val="none" w:sz="0" w:space="0" w:color="auto"/>
            <w:right w:val="none" w:sz="0" w:space="0" w:color="auto"/>
          </w:divBdr>
          <w:divsChild>
            <w:div w:id="15832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60881">
      <w:bodyDiv w:val="1"/>
      <w:marLeft w:val="0"/>
      <w:marRight w:val="0"/>
      <w:marTop w:val="0"/>
      <w:marBottom w:val="0"/>
      <w:divBdr>
        <w:top w:val="none" w:sz="0" w:space="0" w:color="auto"/>
        <w:left w:val="none" w:sz="0" w:space="0" w:color="auto"/>
        <w:bottom w:val="none" w:sz="0" w:space="0" w:color="auto"/>
        <w:right w:val="none" w:sz="0" w:space="0" w:color="auto"/>
      </w:divBdr>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68726528">
      <w:bodyDiv w:val="1"/>
      <w:marLeft w:val="0"/>
      <w:marRight w:val="0"/>
      <w:marTop w:val="0"/>
      <w:marBottom w:val="0"/>
      <w:divBdr>
        <w:top w:val="none" w:sz="0" w:space="0" w:color="auto"/>
        <w:left w:val="none" w:sz="0" w:space="0" w:color="auto"/>
        <w:bottom w:val="none" w:sz="0" w:space="0" w:color="auto"/>
        <w:right w:val="none" w:sz="0" w:space="0" w:color="auto"/>
      </w:divBdr>
      <w:divsChild>
        <w:div w:id="1577788179">
          <w:marLeft w:val="0"/>
          <w:marRight w:val="0"/>
          <w:marTop w:val="0"/>
          <w:marBottom w:val="0"/>
          <w:divBdr>
            <w:top w:val="none" w:sz="0" w:space="0" w:color="auto"/>
            <w:left w:val="none" w:sz="0" w:space="0" w:color="auto"/>
            <w:bottom w:val="none" w:sz="0" w:space="0" w:color="auto"/>
            <w:right w:val="none" w:sz="0" w:space="0" w:color="auto"/>
          </w:divBdr>
        </w:div>
      </w:divsChild>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44469753">
      <w:bodyDiv w:val="1"/>
      <w:marLeft w:val="0"/>
      <w:marRight w:val="0"/>
      <w:marTop w:val="0"/>
      <w:marBottom w:val="0"/>
      <w:divBdr>
        <w:top w:val="none" w:sz="0" w:space="0" w:color="auto"/>
        <w:left w:val="none" w:sz="0" w:space="0" w:color="auto"/>
        <w:bottom w:val="none" w:sz="0" w:space="0" w:color="auto"/>
        <w:right w:val="none" w:sz="0" w:space="0" w:color="auto"/>
      </w:divBdr>
      <w:divsChild>
        <w:div w:id="858666677">
          <w:marLeft w:val="0"/>
          <w:marRight w:val="0"/>
          <w:marTop w:val="150"/>
          <w:marBottom w:val="270"/>
          <w:divBdr>
            <w:top w:val="none" w:sz="0" w:space="0" w:color="auto"/>
            <w:left w:val="none" w:sz="0" w:space="0" w:color="auto"/>
            <w:bottom w:val="none" w:sz="0" w:space="0" w:color="auto"/>
            <w:right w:val="none" w:sz="0" w:space="0" w:color="auto"/>
          </w:divBdr>
        </w:div>
        <w:div w:id="1430152334">
          <w:marLeft w:val="0"/>
          <w:marRight w:val="0"/>
          <w:marTop w:val="150"/>
          <w:marBottom w:val="270"/>
          <w:divBdr>
            <w:top w:val="none" w:sz="0" w:space="0" w:color="auto"/>
            <w:left w:val="none" w:sz="0" w:space="0" w:color="auto"/>
            <w:bottom w:val="none" w:sz="0" w:space="0" w:color="auto"/>
            <w:right w:val="none" w:sz="0" w:space="0" w:color="auto"/>
          </w:divBdr>
        </w:div>
        <w:div w:id="1155872405">
          <w:marLeft w:val="0"/>
          <w:marRight w:val="0"/>
          <w:marTop w:val="150"/>
          <w:marBottom w:val="270"/>
          <w:divBdr>
            <w:top w:val="none" w:sz="0" w:space="0" w:color="auto"/>
            <w:left w:val="none" w:sz="0" w:space="0" w:color="auto"/>
            <w:bottom w:val="none" w:sz="0" w:space="0" w:color="auto"/>
            <w:right w:val="none" w:sz="0" w:space="0" w:color="auto"/>
          </w:divBdr>
        </w:div>
        <w:div w:id="2030570721">
          <w:marLeft w:val="0"/>
          <w:marRight w:val="0"/>
          <w:marTop w:val="150"/>
          <w:marBottom w:val="270"/>
          <w:divBdr>
            <w:top w:val="none" w:sz="0" w:space="0" w:color="auto"/>
            <w:left w:val="none" w:sz="0" w:space="0" w:color="auto"/>
            <w:bottom w:val="none" w:sz="0" w:space="0" w:color="auto"/>
            <w:right w:val="none" w:sz="0" w:space="0" w:color="auto"/>
          </w:divBdr>
        </w:div>
      </w:divsChild>
    </w:div>
    <w:div w:id="445467608">
      <w:bodyDiv w:val="1"/>
      <w:marLeft w:val="0"/>
      <w:marRight w:val="0"/>
      <w:marTop w:val="0"/>
      <w:marBottom w:val="0"/>
      <w:divBdr>
        <w:top w:val="none" w:sz="0" w:space="0" w:color="auto"/>
        <w:left w:val="none" w:sz="0" w:space="0" w:color="auto"/>
        <w:bottom w:val="none" w:sz="0" w:space="0" w:color="auto"/>
        <w:right w:val="none" w:sz="0" w:space="0" w:color="auto"/>
      </w:divBdr>
      <w:divsChild>
        <w:div w:id="269627116">
          <w:marLeft w:val="0"/>
          <w:marRight w:val="0"/>
          <w:marTop w:val="0"/>
          <w:marBottom w:val="0"/>
          <w:divBdr>
            <w:top w:val="none" w:sz="0" w:space="0" w:color="auto"/>
            <w:left w:val="none" w:sz="0" w:space="0" w:color="auto"/>
            <w:bottom w:val="none" w:sz="0" w:space="0" w:color="auto"/>
            <w:right w:val="none" w:sz="0" w:space="0" w:color="auto"/>
          </w:divBdr>
        </w:div>
        <w:div w:id="626818453">
          <w:marLeft w:val="0"/>
          <w:marRight w:val="0"/>
          <w:marTop w:val="0"/>
          <w:marBottom w:val="0"/>
          <w:divBdr>
            <w:top w:val="none" w:sz="0" w:space="0" w:color="auto"/>
            <w:left w:val="none" w:sz="0" w:space="0" w:color="auto"/>
            <w:bottom w:val="none" w:sz="0" w:space="0" w:color="auto"/>
            <w:right w:val="none" w:sz="0" w:space="0" w:color="auto"/>
          </w:divBdr>
        </w:div>
        <w:div w:id="1807579965">
          <w:marLeft w:val="0"/>
          <w:marRight w:val="0"/>
          <w:marTop w:val="0"/>
          <w:marBottom w:val="0"/>
          <w:divBdr>
            <w:top w:val="none" w:sz="0" w:space="0" w:color="auto"/>
            <w:left w:val="none" w:sz="0" w:space="0" w:color="auto"/>
            <w:bottom w:val="none" w:sz="0" w:space="0" w:color="auto"/>
            <w:right w:val="none" w:sz="0" w:space="0" w:color="auto"/>
          </w:divBdr>
        </w:div>
        <w:div w:id="1904681411">
          <w:marLeft w:val="0"/>
          <w:marRight w:val="0"/>
          <w:marTop w:val="0"/>
          <w:marBottom w:val="0"/>
          <w:divBdr>
            <w:top w:val="none" w:sz="0" w:space="0" w:color="auto"/>
            <w:left w:val="none" w:sz="0" w:space="0" w:color="auto"/>
            <w:bottom w:val="none" w:sz="0" w:space="0" w:color="auto"/>
            <w:right w:val="none" w:sz="0" w:space="0" w:color="auto"/>
          </w:divBdr>
        </w:div>
        <w:div w:id="986204857">
          <w:marLeft w:val="0"/>
          <w:marRight w:val="0"/>
          <w:marTop w:val="0"/>
          <w:marBottom w:val="0"/>
          <w:divBdr>
            <w:top w:val="none" w:sz="0" w:space="0" w:color="auto"/>
            <w:left w:val="none" w:sz="0" w:space="0" w:color="auto"/>
            <w:bottom w:val="none" w:sz="0" w:space="0" w:color="auto"/>
            <w:right w:val="none" w:sz="0" w:space="0" w:color="auto"/>
          </w:divBdr>
        </w:div>
        <w:div w:id="962418065">
          <w:marLeft w:val="0"/>
          <w:marRight w:val="0"/>
          <w:marTop w:val="0"/>
          <w:marBottom w:val="0"/>
          <w:divBdr>
            <w:top w:val="none" w:sz="0" w:space="0" w:color="auto"/>
            <w:left w:val="none" w:sz="0" w:space="0" w:color="auto"/>
            <w:bottom w:val="none" w:sz="0" w:space="0" w:color="auto"/>
            <w:right w:val="none" w:sz="0" w:space="0" w:color="auto"/>
          </w:divBdr>
        </w:div>
        <w:div w:id="1059014084">
          <w:marLeft w:val="0"/>
          <w:marRight w:val="0"/>
          <w:marTop w:val="0"/>
          <w:marBottom w:val="0"/>
          <w:divBdr>
            <w:top w:val="none" w:sz="0" w:space="0" w:color="auto"/>
            <w:left w:val="none" w:sz="0" w:space="0" w:color="auto"/>
            <w:bottom w:val="none" w:sz="0" w:space="0" w:color="auto"/>
            <w:right w:val="none" w:sz="0" w:space="0" w:color="auto"/>
          </w:divBdr>
        </w:div>
      </w:divsChild>
    </w:div>
    <w:div w:id="449206629">
      <w:bodyDiv w:val="1"/>
      <w:marLeft w:val="0"/>
      <w:marRight w:val="0"/>
      <w:marTop w:val="0"/>
      <w:marBottom w:val="0"/>
      <w:divBdr>
        <w:top w:val="none" w:sz="0" w:space="0" w:color="auto"/>
        <w:left w:val="none" w:sz="0" w:space="0" w:color="auto"/>
        <w:bottom w:val="none" w:sz="0" w:space="0" w:color="auto"/>
        <w:right w:val="none" w:sz="0" w:space="0" w:color="auto"/>
      </w:divBdr>
      <w:divsChild>
        <w:div w:id="1346515593">
          <w:marLeft w:val="0"/>
          <w:marRight w:val="0"/>
          <w:marTop w:val="0"/>
          <w:marBottom w:val="0"/>
          <w:divBdr>
            <w:top w:val="none" w:sz="0" w:space="0" w:color="auto"/>
            <w:left w:val="none" w:sz="0" w:space="0" w:color="auto"/>
            <w:bottom w:val="none" w:sz="0" w:space="0" w:color="auto"/>
            <w:right w:val="none" w:sz="0" w:space="0" w:color="auto"/>
          </w:divBdr>
          <w:divsChild>
            <w:div w:id="31105739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52094405">
      <w:bodyDiv w:val="1"/>
      <w:marLeft w:val="0"/>
      <w:marRight w:val="0"/>
      <w:marTop w:val="0"/>
      <w:marBottom w:val="0"/>
      <w:divBdr>
        <w:top w:val="none" w:sz="0" w:space="0" w:color="auto"/>
        <w:left w:val="none" w:sz="0" w:space="0" w:color="auto"/>
        <w:bottom w:val="none" w:sz="0" w:space="0" w:color="auto"/>
        <w:right w:val="none" w:sz="0" w:space="0" w:color="auto"/>
      </w:divBdr>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45603265">
      <w:bodyDiv w:val="1"/>
      <w:marLeft w:val="0"/>
      <w:marRight w:val="0"/>
      <w:marTop w:val="0"/>
      <w:marBottom w:val="0"/>
      <w:divBdr>
        <w:top w:val="none" w:sz="0" w:space="0" w:color="auto"/>
        <w:left w:val="none" w:sz="0" w:space="0" w:color="auto"/>
        <w:bottom w:val="none" w:sz="0" w:space="0" w:color="auto"/>
        <w:right w:val="none" w:sz="0" w:space="0" w:color="auto"/>
      </w:divBdr>
    </w:div>
    <w:div w:id="546992142">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09383054">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4975500">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81568">
      <w:bodyDiv w:val="1"/>
      <w:marLeft w:val="0"/>
      <w:marRight w:val="0"/>
      <w:marTop w:val="0"/>
      <w:marBottom w:val="0"/>
      <w:divBdr>
        <w:top w:val="none" w:sz="0" w:space="0" w:color="auto"/>
        <w:left w:val="none" w:sz="0" w:space="0" w:color="auto"/>
        <w:bottom w:val="none" w:sz="0" w:space="0" w:color="auto"/>
        <w:right w:val="none" w:sz="0" w:space="0" w:color="auto"/>
      </w:divBdr>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35540211">
      <w:bodyDiv w:val="1"/>
      <w:marLeft w:val="0"/>
      <w:marRight w:val="0"/>
      <w:marTop w:val="0"/>
      <w:marBottom w:val="0"/>
      <w:divBdr>
        <w:top w:val="none" w:sz="0" w:space="0" w:color="auto"/>
        <w:left w:val="none" w:sz="0" w:space="0" w:color="auto"/>
        <w:bottom w:val="none" w:sz="0" w:space="0" w:color="auto"/>
        <w:right w:val="none" w:sz="0" w:space="0" w:color="auto"/>
      </w:divBdr>
      <w:divsChild>
        <w:div w:id="1743945361">
          <w:marLeft w:val="0"/>
          <w:marRight w:val="0"/>
          <w:marTop w:val="0"/>
          <w:marBottom w:val="0"/>
          <w:divBdr>
            <w:top w:val="none" w:sz="0" w:space="0" w:color="auto"/>
            <w:left w:val="none" w:sz="0" w:space="0" w:color="auto"/>
            <w:bottom w:val="none" w:sz="0" w:space="0" w:color="auto"/>
            <w:right w:val="none" w:sz="0" w:space="0" w:color="auto"/>
          </w:divBdr>
          <w:divsChild>
            <w:div w:id="32272918">
              <w:marLeft w:val="0"/>
              <w:marRight w:val="0"/>
              <w:marTop w:val="0"/>
              <w:marBottom w:val="0"/>
              <w:divBdr>
                <w:top w:val="none" w:sz="0" w:space="0" w:color="auto"/>
                <w:left w:val="none" w:sz="0" w:space="0" w:color="auto"/>
                <w:bottom w:val="none" w:sz="0" w:space="0" w:color="auto"/>
                <w:right w:val="none" w:sz="0" w:space="0" w:color="auto"/>
              </w:divBdr>
              <w:divsChild>
                <w:div w:id="1814104238">
                  <w:marLeft w:val="0"/>
                  <w:marRight w:val="0"/>
                  <w:marTop w:val="0"/>
                  <w:marBottom w:val="0"/>
                  <w:divBdr>
                    <w:top w:val="none" w:sz="0" w:space="0" w:color="auto"/>
                    <w:left w:val="none" w:sz="0" w:space="0" w:color="auto"/>
                    <w:bottom w:val="none" w:sz="0" w:space="0" w:color="auto"/>
                    <w:right w:val="none" w:sz="0" w:space="0" w:color="auto"/>
                  </w:divBdr>
                  <w:divsChild>
                    <w:div w:id="642003577">
                      <w:marLeft w:val="0"/>
                      <w:marRight w:val="0"/>
                      <w:marTop w:val="0"/>
                      <w:marBottom w:val="0"/>
                      <w:divBdr>
                        <w:top w:val="none" w:sz="0" w:space="0" w:color="auto"/>
                        <w:left w:val="none" w:sz="0" w:space="0" w:color="auto"/>
                        <w:bottom w:val="none" w:sz="0" w:space="0" w:color="auto"/>
                        <w:right w:val="none" w:sz="0" w:space="0" w:color="auto"/>
                      </w:divBdr>
                      <w:divsChild>
                        <w:div w:id="251285564">
                          <w:marLeft w:val="0"/>
                          <w:marRight w:val="0"/>
                          <w:marTop w:val="0"/>
                          <w:marBottom w:val="0"/>
                          <w:divBdr>
                            <w:top w:val="none" w:sz="0" w:space="0" w:color="auto"/>
                            <w:left w:val="none" w:sz="0" w:space="0" w:color="auto"/>
                            <w:bottom w:val="none" w:sz="0" w:space="0" w:color="auto"/>
                            <w:right w:val="none" w:sz="0" w:space="0" w:color="auto"/>
                          </w:divBdr>
                          <w:divsChild>
                            <w:div w:id="106776278">
                              <w:marLeft w:val="0"/>
                              <w:marRight w:val="0"/>
                              <w:marTop w:val="0"/>
                              <w:marBottom w:val="0"/>
                              <w:divBdr>
                                <w:top w:val="none" w:sz="0" w:space="0" w:color="auto"/>
                                <w:left w:val="none" w:sz="0" w:space="0" w:color="auto"/>
                                <w:bottom w:val="none" w:sz="0" w:space="0" w:color="auto"/>
                                <w:right w:val="none" w:sz="0" w:space="0" w:color="auto"/>
                              </w:divBdr>
                              <w:divsChild>
                                <w:div w:id="78796426">
                                  <w:marLeft w:val="0"/>
                                  <w:marRight w:val="0"/>
                                  <w:marTop w:val="210"/>
                                  <w:marBottom w:val="0"/>
                                  <w:divBdr>
                                    <w:top w:val="none" w:sz="0" w:space="0" w:color="auto"/>
                                    <w:left w:val="none" w:sz="0" w:space="0" w:color="auto"/>
                                    <w:bottom w:val="none" w:sz="0" w:space="0" w:color="auto"/>
                                    <w:right w:val="none" w:sz="0" w:space="0" w:color="auto"/>
                                  </w:divBdr>
                                  <w:divsChild>
                                    <w:div w:id="588121672">
                                      <w:marLeft w:val="0"/>
                                      <w:marRight w:val="0"/>
                                      <w:marTop w:val="0"/>
                                      <w:marBottom w:val="0"/>
                                      <w:divBdr>
                                        <w:top w:val="none" w:sz="0" w:space="0" w:color="auto"/>
                                        <w:left w:val="none" w:sz="0" w:space="0" w:color="auto"/>
                                        <w:bottom w:val="none" w:sz="0" w:space="0" w:color="auto"/>
                                        <w:right w:val="none" w:sz="0" w:space="0" w:color="auto"/>
                                      </w:divBdr>
                                      <w:divsChild>
                                        <w:div w:id="1455365663">
                                          <w:marLeft w:val="-240"/>
                                          <w:marRight w:val="-240"/>
                                          <w:marTop w:val="0"/>
                                          <w:marBottom w:val="0"/>
                                          <w:divBdr>
                                            <w:top w:val="none" w:sz="0" w:space="0" w:color="auto"/>
                                            <w:left w:val="none" w:sz="0" w:space="0" w:color="auto"/>
                                            <w:bottom w:val="none" w:sz="0" w:space="0" w:color="auto"/>
                                            <w:right w:val="none" w:sz="0" w:space="0" w:color="auto"/>
                                          </w:divBdr>
                                          <w:divsChild>
                                            <w:div w:id="1631129767">
                                              <w:marLeft w:val="0"/>
                                              <w:marRight w:val="0"/>
                                              <w:marTop w:val="0"/>
                                              <w:marBottom w:val="0"/>
                                              <w:divBdr>
                                                <w:top w:val="none" w:sz="0" w:space="0" w:color="auto"/>
                                                <w:left w:val="none" w:sz="0" w:space="0" w:color="auto"/>
                                                <w:bottom w:val="none" w:sz="0" w:space="0" w:color="auto"/>
                                                <w:right w:val="none" w:sz="0" w:space="0" w:color="auto"/>
                                              </w:divBdr>
                                              <w:divsChild>
                                                <w:div w:id="1161895173">
                                                  <w:marLeft w:val="0"/>
                                                  <w:marRight w:val="0"/>
                                                  <w:marTop w:val="150"/>
                                                  <w:marBottom w:val="270"/>
                                                  <w:divBdr>
                                                    <w:top w:val="none" w:sz="0" w:space="0" w:color="auto"/>
                                                    <w:left w:val="none" w:sz="0" w:space="0" w:color="auto"/>
                                                    <w:bottom w:val="none" w:sz="0" w:space="0" w:color="auto"/>
                                                    <w:right w:val="none" w:sz="0" w:space="0" w:color="auto"/>
                                                  </w:divBdr>
                                                  <w:divsChild>
                                                    <w:div w:id="602804454">
                                                      <w:marLeft w:val="0"/>
                                                      <w:marRight w:val="0"/>
                                                      <w:marTop w:val="0"/>
                                                      <w:marBottom w:val="0"/>
                                                      <w:divBdr>
                                                        <w:top w:val="none" w:sz="0" w:space="0" w:color="auto"/>
                                                        <w:left w:val="none" w:sz="0" w:space="0" w:color="auto"/>
                                                        <w:bottom w:val="none" w:sz="0" w:space="0" w:color="auto"/>
                                                        <w:right w:val="none" w:sz="0" w:space="0" w:color="auto"/>
                                                      </w:divBdr>
                                                      <w:divsChild>
                                                        <w:div w:id="1317802903">
                                                          <w:marLeft w:val="0"/>
                                                          <w:marRight w:val="0"/>
                                                          <w:marTop w:val="0"/>
                                                          <w:marBottom w:val="0"/>
                                                          <w:divBdr>
                                                            <w:top w:val="none" w:sz="0" w:space="0" w:color="auto"/>
                                                            <w:left w:val="none" w:sz="0" w:space="0" w:color="auto"/>
                                                            <w:bottom w:val="none" w:sz="0" w:space="0" w:color="auto"/>
                                                            <w:right w:val="none" w:sz="0" w:space="0" w:color="auto"/>
                                                          </w:divBdr>
                                                          <w:divsChild>
                                                            <w:div w:id="1736853458">
                                                              <w:marLeft w:val="0"/>
                                                              <w:marRight w:val="0"/>
                                                              <w:marTop w:val="0"/>
                                                              <w:marBottom w:val="0"/>
                                                              <w:divBdr>
                                                                <w:top w:val="none" w:sz="0" w:space="0" w:color="auto"/>
                                                                <w:left w:val="none" w:sz="0" w:space="0" w:color="auto"/>
                                                                <w:bottom w:val="none" w:sz="0" w:space="0" w:color="auto"/>
                                                                <w:right w:val="none" w:sz="0" w:space="0" w:color="auto"/>
                                                              </w:divBdr>
                                                              <w:divsChild>
                                                                <w:div w:id="1311788301">
                                                                  <w:marLeft w:val="0"/>
                                                                  <w:marRight w:val="0"/>
                                                                  <w:marTop w:val="0"/>
                                                                  <w:marBottom w:val="0"/>
                                                                  <w:divBdr>
                                                                    <w:top w:val="none" w:sz="0" w:space="0" w:color="auto"/>
                                                                    <w:left w:val="none" w:sz="0" w:space="0" w:color="auto"/>
                                                                    <w:bottom w:val="none" w:sz="0" w:space="0" w:color="auto"/>
                                                                    <w:right w:val="none" w:sz="0" w:space="0" w:color="auto"/>
                                                                  </w:divBdr>
                                                                  <w:divsChild>
                                                                    <w:div w:id="1161771231">
                                                                      <w:marLeft w:val="0"/>
                                                                      <w:marRight w:val="0"/>
                                                                      <w:marTop w:val="0"/>
                                                                      <w:marBottom w:val="0"/>
                                                                      <w:divBdr>
                                                                        <w:top w:val="none" w:sz="0" w:space="0" w:color="auto"/>
                                                                        <w:left w:val="none" w:sz="0" w:space="0" w:color="auto"/>
                                                                        <w:bottom w:val="none" w:sz="0" w:space="0" w:color="auto"/>
                                                                        <w:right w:val="none" w:sz="0" w:space="0" w:color="auto"/>
                                                                      </w:divBdr>
                                                                      <w:divsChild>
                                                                        <w:div w:id="15716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31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0339017">
      <w:bodyDiv w:val="1"/>
      <w:marLeft w:val="0"/>
      <w:marRight w:val="0"/>
      <w:marTop w:val="0"/>
      <w:marBottom w:val="0"/>
      <w:divBdr>
        <w:top w:val="none" w:sz="0" w:space="0" w:color="auto"/>
        <w:left w:val="none" w:sz="0" w:space="0" w:color="auto"/>
        <w:bottom w:val="none" w:sz="0" w:space="0" w:color="auto"/>
        <w:right w:val="none" w:sz="0" w:space="0" w:color="auto"/>
      </w:divBdr>
      <w:divsChild>
        <w:div w:id="514655041">
          <w:marLeft w:val="0"/>
          <w:marRight w:val="0"/>
          <w:marTop w:val="150"/>
          <w:marBottom w:val="270"/>
          <w:divBdr>
            <w:top w:val="none" w:sz="0" w:space="0" w:color="auto"/>
            <w:left w:val="none" w:sz="0" w:space="0" w:color="auto"/>
            <w:bottom w:val="none" w:sz="0" w:space="0" w:color="auto"/>
            <w:right w:val="none" w:sz="0" w:space="0" w:color="auto"/>
          </w:divBdr>
          <w:divsChild>
            <w:div w:id="32316206">
              <w:marLeft w:val="0"/>
              <w:marRight w:val="0"/>
              <w:marTop w:val="0"/>
              <w:marBottom w:val="0"/>
              <w:divBdr>
                <w:top w:val="none" w:sz="0" w:space="0" w:color="auto"/>
                <w:left w:val="none" w:sz="0" w:space="0" w:color="auto"/>
                <w:bottom w:val="none" w:sz="0" w:space="0" w:color="auto"/>
                <w:right w:val="none" w:sz="0" w:space="0" w:color="auto"/>
              </w:divBdr>
            </w:div>
            <w:div w:id="1030379987">
              <w:marLeft w:val="0"/>
              <w:marRight w:val="0"/>
              <w:marTop w:val="0"/>
              <w:marBottom w:val="0"/>
              <w:divBdr>
                <w:top w:val="none" w:sz="0" w:space="0" w:color="auto"/>
                <w:left w:val="none" w:sz="0" w:space="0" w:color="auto"/>
                <w:bottom w:val="none" w:sz="0" w:space="0" w:color="auto"/>
                <w:right w:val="none" w:sz="0" w:space="0" w:color="auto"/>
              </w:divBdr>
            </w:div>
          </w:divsChild>
        </w:div>
        <w:div w:id="1749304777">
          <w:marLeft w:val="0"/>
          <w:marRight w:val="0"/>
          <w:marTop w:val="150"/>
          <w:marBottom w:val="270"/>
          <w:divBdr>
            <w:top w:val="none" w:sz="0" w:space="0" w:color="auto"/>
            <w:left w:val="none" w:sz="0" w:space="0" w:color="auto"/>
            <w:bottom w:val="none" w:sz="0" w:space="0" w:color="auto"/>
            <w:right w:val="none" w:sz="0" w:space="0" w:color="auto"/>
          </w:divBdr>
        </w:div>
        <w:div w:id="1193155804">
          <w:marLeft w:val="0"/>
          <w:marRight w:val="0"/>
          <w:marTop w:val="150"/>
          <w:marBottom w:val="27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73736556">
      <w:bodyDiv w:val="1"/>
      <w:marLeft w:val="0"/>
      <w:marRight w:val="0"/>
      <w:marTop w:val="0"/>
      <w:marBottom w:val="0"/>
      <w:divBdr>
        <w:top w:val="none" w:sz="0" w:space="0" w:color="auto"/>
        <w:left w:val="none" w:sz="0" w:space="0" w:color="auto"/>
        <w:bottom w:val="none" w:sz="0" w:space="0" w:color="auto"/>
        <w:right w:val="none" w:sz="0" w:space="0" w:color="auto"/>
      </w:divBdr>
    </w:div>
    <w:div w:id="874151272">
      <w:bodyDiv w:val="1"/>
      <w:marLeft w:val="0"/>
      <w:marRight w:val="0"/>
      <w:marTop w:val="0"/>
      <w:marBottom w:val="0"/>
      <w:divBdr>
        <w:top w:val="none" w:sz="0" w:space="0" w:color="auto"/>
        <w:left w:val="none" w:sz="0" w:space="0" w:color="auto"/>
        <w:bottom w:val="none" w:sz="0" w:space="0" w:color="auto"/>
        <w:right w:val="none" w:sz="0" w:space="0" w:color="auto"/>
      </w:divBdr>
      <w:divsChild>
        <w:div w:id="1979022541">
          <w:marLeft w:val="0"/>
          <w:marRight w:val="0"/>
          <w:marTop w:val="150"/>
          <w:marBottom w:val="270"/>
          <w:divBdr>
            <w:top w:val="none" w:sz="0" w:space="0" w:color="auto"/>
            <w:left w:val="none" w:sz="0" w:space="0" w:color="auto"/>
            <w:bottom w:val="none" w:sz="0" w:space="0" w:color="auto"/>
            <w:right w:val="none" w:sz="0" w:space="0" w:color="auto"/>
          </w:divBdr>
        </w:div>
        <w:div w:id="1780876658">
          <w:marLeft w:val="0"/>
          <w:marRight w:val="0"/>
          <w:marTop w:val="150"/>
          <w:marBottom w:val="270"/>
          <w:divBdr>
            <w:top w:val="none" w:sz="0" w:space="0" w:color="auto"/>
            <w:left w:val="none" w:sz="0" w:space="0" w:color="auto"/>
            <w:bottom w:val="none" w:sz="0" w:space="0" w:color="auto"/>
            <w:right w:val="none" w:sz="0" w:space="0" w:color="auto"/>
          </w:divBdr>
        </w:div>
        <w:div w:id="2139688776">
          <w:marLeft w:val="0"/>
          <w:marRight w:val="0"/>
          <w:marTop w:val="150"/>
          <w:marBottom w:val="270"/>
          <w:divBdr>
            <w:top w:val="none" w:sz="0" w:space="0" w:color="auto"/>
            <w:left w:val="none" w:sz="0" w:space="0" w:color="auto"/>
            <w:bottom w:val="none" w:sz="0" w:space="0" w:color="auto"/>
            <w:right w:val="none" w:sz="0" w:space="0" w:color="auto"/>
          </w:divBdr>
        </w:div>
        <w:div w:id="1206021030">
          <w:marLeft w:val="0"/>
          <w:marRight w:val="0"/>
          <w:marTop w:val="150"/>
          <w:marBottom w:val="270"/>
          <w:divBdr>
            <w:top w:val="none" w:sz="0" w:space="0" w:color="auto"/>
            <w:left w:val="none" w:sz="0" w:space="0" w:color="auto"/>
            <w:bottom w:val="none" w:sz="0" w:space="0" w:color="auto"/>
            <w:right w:val="none" w:sz="0" w:space="0" w:color="auto"/>
          </w:divBdr>
        </w:div>
        <w:div w:id="1528980856">
          <w:marLeft w:val="0"/>
          <w:marRight w:val="0"/>
          <w:marTop w:val="150"/>
          <w:marBottom w:val="270"/>
          <w:divBdr>
            <w:top w:val="none" w:sz="0" w:space="0" w:color="auto"/>
            <w:left w:val="none" w:sz="0" w:space="0" w:color="auto"/>
            <w:bottom w:val="none" w:sz="0" w:space="0" w:color="auto"/>
            <w:right w:val="none" w:sz="0" w:space="0" w:color="auto"/>
          </w:divBdr>
        </w:div>
        <w:div w:id="1563902945">
          <w:marLeft w:val="0"/>
          <w:marRight w:val="0"/>
          <w:marTop w:val="150"/>
          <w:marBottom w:val="270"/>
          <w:divBdr>
            <w:top w:val="none" w:sz="0" w:space="0" w:color="auto"/>
            <w:left w:val="none" w:sz="0" w:space="0" w:color="auto"/>
            <w:bottom w:val="none" w:sz="0" w:space="0" w:color="auto"/>
            <w:right w:val="none" w:sz="0" w:space="0" w:color="auto"/>
          </w:divBdr>
        </w:div>
      </w:divsChild>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7106525">
      <w:bodyDiv w:val="1"/>
      <w:marLeft w:val="0"/>
      <w:marRight w:val="0"/>
      <w:marTop w:val="0"/>
      <w:marBottom w:val="0"/>
      <w:divBdr>
        <w:top w:val="none" w:sz="0" w:space="0" w:color="auto"/>
        <w:left w:val="none" w:sz="0" w:space="0" w:color="auto"/>
        <w:bottom w:val="none" w:sz="0" w:space="0" w:color="auto"/>
        <w:right w:val="none" w:sz="0" w:space="0" w:color="auto"/>
      </w:divBdr>
      <w:divsChild>
        <w:div w:id="397674292">
          <w:marLeft w:val="0"/>
          <w:marRight w:val="0"/>
          <w:marTop w:val="0"/>
          <w:marBottom w:val="0"/>
          <w:divBdr>
            <w:top w:val="none" w:sz="0" w:space="0" w:color="auto"/>
            <w:left w:val="none" w:sz="0" w:space="0" w:color="auto"/>
            <w:bottom w:val="none" w:sz="0" w:space="0" w:color="auto"/>
            <w:right w:val="none" w:sz="0" w:space="0" w:color="auto"/>
          </w:divBdr>
        </w:div>
        <w:div w:id="1494445483">
          <w:marLeft w:val="0"/>
          <w:marRight w:val="0"/>
          <w:marTop w:val="0"/>
          <w:marBottom w:val="0"/>
          <w:divBdr>
            <w:top w:val="none" w:sz="0" w:space="0" w:color="auto"/>
            <w:left w:val="none" w:sz="0" w:space="0" w:color="auto"/>
            <w:bottom w:val="none" w:sz="0" w:space="0" w:color="auto"/>
            <w:right w:val="none" w:sz="0" w:space="0" w:color="auto"/>
          </w:divBdr>
        </w:div>
        <w:div w:id="1358970065">
          <w:marLeft w:val="0"/>
          <w:marRight w:val="0"/>
          <w:marTop w:val="0"/>
          <w:marBottom w:val="0"/>
          <w:divBdr>
            <w:top w:val="none" w:sz="0" w:space="0" w:color="auto"/>
            <w:left w:val="none" w:sz="0" w:space="0" w:color="auto"/>
            <w:bottom w:val="none" w:sz="0" w:space="0" w:color="auto"/>
            <w:right w:val="none" w:sz="0" w:space="0" w:color="auto"/>
          </w:divBdr>
        </w:div>
        <w:div w:id="712728497">
          <w:marLeft w:val="0"/>
          <w:marRight w:val="0"/>
          <w:marTop w:val="0"/>
          <w:marBottom w:val="0"/>
          <w:divBdr>
            <w:top w:val="none" w:sz="0" w:space="0" w:color="auto"/>
            <w:left w:val="none" w:sz="0" w:space="0" w:color="auto"/>
            <w:bottom w:val="none" w:sz="0" w:space="0" w:color="auto"/>
            <w:right w:val="none" w:sz="0" w:space="0" w:color="auto"/>
          </w:divBdr>
        </w:div>
      </w:divsChild>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0068809">
      <w:bodyDiv w:val="1"/>
      <w:marLeft w:val="0"/>
      <w:marRight w:val="0"/>
      <w:marTop w:val="0"/>
      <w:marBottom w:val="0"/>
      <w:divBdr>
        <w:top w:val="none" w:sz="0" w:space="0" w:color="auto"/>
        <w:left w:val="none" w:sz="0" w:space="0" w:color="auto"/>
        <w:bottom w:val="none" w:sz="0" w:space="0" w:color="auto"/>
        <w:right w:val="none" w:sz="0" w:space="0" w:color="auto"/>
      </w:divBdr>
      <w:divsChild>
        <w:div w:id="338585298">
          <w:marLeft w:val="0"/>
          <w:marRight w:val="0"/>
          <w:marTop w:val="150"/>
          <w:marBottom w:val="270"/>
          <w:divBdr>
            <w:top w:val="none" w:sz="0" w:space="0" w:color="auto"/>
            <w:left w:val="none" w:sz="0" w:space="0" w:color="auto"/>
            <w:bottom w:val="none" w:sz="0" w:space="0" w:color="auto"/>
            <w:right w:val="none" w:sz="0" w:space="0" w:color="auto"/>
          </w:divBdr>
          <w:divsChild>
            <w:div w:id="1654793899">
              <w:marLeft w:val="0"/>
              <w:marRight w:val="0"/>
              <w:marTop w:val="150"/>
              <w:marBottom w:val="270"/>
              <w:divBdr>
                <w:top w:val="none" w:sz="0" w:space="0" w:color="auto"/>
                <w:left w:val="none" w:sz="0" w:space="0" w:color="auto"/>
                <w:bottom w:val="none" w:sz="0" w:space="0" w:color="auto"/>
                <w:right w:val="none" w:sz="0" w:space="0" w:color="auto"/>
              </w:divBdr>
            </w:div>
            <w:div w:id="1897937797">
              <w:marLeft w:val="0"/>
              <w:marRight w:val="0"/>
              <w:marTop w:val="150"/>
              <w:marBottom w:val="270"/>
              <w:divBdr>
                <w:top w:val="none" w:sz="0" w:space="0" w:color="auto"/>
                <w:left w:val="none" w:sz="0" w:space="0" w:color="auto"/>
                <w:bottom w:val="none" w:sz="0" w:space="0" w:color="auto"/>
                <w:right w:val="none" w:sz="0" w:space="0" w:color="auto"/>
              </w:divBdr>
            </w:div>
            <w:div w:id="2088720215">
              <w:marLeft w:val="0"/>
              <w:marRight w:val="0"/>
              <w:marTop w:val="150"/>
              <w:marBottom w:val="270"/>
              <w:divBdr>
                <w:top w:val="none" w:sz="0" w:space="0" w:color="auto"/>
                <w:left w:val="none" w:sz="0" w:space="0" w:color="auto"/>
                <w:bottom w:val="none" w:sz="0" w:space="0" w:color="auto"/>
                <w:right w:val="none" w:sz="0" w:space="0" w:color="auto"/>
              </w:divBdr>
            </w:div>
            <w:div w:id="1344239195">
              <w:marLeft w:val="0"/>
              <w:marRight w:val="0"/>
              <w:marTop w:val="150"/>
              <w:marBottom w:val="270"/>
              <w:divBdr>
                <w:top w:val="none" w:sz="0" w:space="0" w:color="auto"/>
                <w:left w:val="none" w:sz="0" w:space="0" w:color="auto"/>
                <w:bottom w:val="none" w:sz="0" w:space="0" w:color="auto"/>
                <w:right w:val="none" w:sz="0" w:space="0" w:color="auto"/>
              </w:divBdr>
            </w:div>
            <w:div w:id="684596396">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60498554">
      <w:bodyDiv w:val="1"/>
      <w:marLeft w:val="0"/>
      <w:marRight w:val="0"/>
      <w:marTop w:val="0"/>
      <w:marBottom w:val="0"/>
      <w:divBdr>
        <w:top w:val="none" w:sz="0" w:space="0" w:color="auto"/>
        <w:left w:val="none" w:sz="0" w:space="0" w:color="auto"/>
        <w:bottom w:val="none" w:sz="0" w:space="0" w:color="auto"/>
        <w:right w:val="none" w:sz="0" w:space="0" w:color="auto"/>
      </w:divBdr>
    </w:div>
    <w:div w:id="989015249">
      <w:bodyDiv w:val="1"/>
      <w:marLeft w:val="0"/>
      <w:marRight w:val="0"/>
      <w:marTop w:val="0"/>
      <w:marBottom w:val="0"/>
      <w:divBdr>
        <w:top w:val="none" w:sz="0" w:space="0" w:color="auto"/>
        <w:left w:val="none" w:sz="0" w:space="0" w:color="auto"/>
        <w:bottom w:val="none" w:sz="0" w:space="0" w:color="auto"/>
        <w:right w:val="none" w:sz="0" w:space="0" w:color="auto"/>
      </w:divBdr>
      <w:divsChild>
        <w:div w:id="938298595">
          <w:marLeft w:val="0"/>
          <w:marRight w:val="0"/>
          <w:marTop w:val="0"/>
          <w:marBottom w:val="0"/>
          <w:divBdr>
            <w:top w:val="none" w:sz="0" w:space="0" w:color="auto"/>
            <w:left w:val="none" w:sz="0" w:space="0" w:color="auto"/>
            <w:bottom w:val="none" w:sz="0" w:space="0" w:color="auto"/>
            <w:right w:val="none" w:sz="0" w:space="0" w:color="auto"/>
          </w:divBdr>
          <w:divsChild>
            <w:div w:id="1998147381">
              <w:marLeft w:val="0"/>
              <w:marRight w:val="0"/>
              <w:marTop w:val="0"/>
              <w:marBottom w:val="0"/>
              <w:divBdr>
                <w:top w:val="none" w:sz="0" w:space="0" w:color="auto"/>
                <w:left w:val="none" w:sz="0" w:space="0" w:color="auto"/>
                <w:bottom w:val="none" w:sz="0" w:space="0" w:color="auto"/>
                <w:right w:val="none" w:sz="0" w:space="0" w:color="auto"/>
              </w:divBdr>
              <w:divsChild>
                <w:div w:id="679702602">
                  <w:marLeft w:val="0"/>
                  <w:marRight w:val="0"/>
                  <w:marTop w:val="0"/>
                  <w:marBottom w:val="0"/>
                  <w:divBdr>
                    <w:top w:val="none" w:sz="0" w:space="0" w:color="auto"/>
                    <w:left w:val="none" w:sz="0" w:space="0" w:color="auto"/>
                    <w:bottom w:val="none" w:sz="0" w:space="0" w:color="auto"/>
                    <w:right w:val="none" w:sz="0" w:space="0" w:color="auto"/>
                  </w:divBdr>
                  <w:divsChild>
                    <w:div w:id="2098671787">
                      <w:marLeft w:val="0"/>
                      <w:marRight w:val="0"/>
                      <w:marTop w:val="0"/>
                      <w:marBottom w:val="0"/>
                      <w:divBdr>
                        <w:top w:val="none" w:sz="0" w:space="0" w:color="auto"/>
                        <w:left w:val="none" w:sz="0" w:space="0" w:color="auto"/>
                        <w:bottom w:val="none" w:sz="0" w:space="0" w:color="auto"/>
                        <w:right w:val="none" w:sz="0" w:space="0" w:color="auto"/>
                      </w:divBdr>
                      <w:divsChild>
                        <w:div w:id="402534760">
                          <w:marLeft w:val="0"/>
                          <w:marRight w:val="0"/>
                          <w:marTop w:val="0"/>
                          <w:marBottom w:val="0"/>
                          <w:divBdr>
                            <w:top w:val="none" w:sz="0" w:space="0" w:color="auto"/>
                            <w:left w:val="none" w:sz="0" w:space="0" w:color="auto"/>
                            <w:bottom w:val="none" w:sz="0" w:space="0" w:color="auto"/>
                            <w:right w:val="none" w:sz="0" w:space="0" w:color="auto"/>
                          </w:divBdr>
                          <w:divsChild>
                            <w:div w:id="89397997">
                              <w:marLeft w:val="0"/>
                              <w:marRight w:val="0"/>
                              <w:marTop w:val="0"/>
                              <w:marBottom w:val="0"/>
                              <w:divBdr>
                                <w:top w:val="none" w:sz="0" w:space="0" w:color="auto"/>
                                <w:left w:val="none" w:sz="0" w:space="0" w:color="auto"/>
                                <w:bottom w:val="none" w:sz="0" w:space="0" w:color="auto"/>
                                <w:right w:val="none" w:sz="0" w:space="0" w:color="auto"/>
                              </w:divBdr>
                              <w:divsChild>
                                <w:div w:id="778571931">
                                  <w:marLeft w:val="0"/>
                                  <w:marRight w:val="0"/>
                                  <w:marTop w:val="0"/>
                                  <w:marBottom w:val="0"/>
                                  <w:divBdr>
                                    <w:top w:val="none" w:sz="0" w:space="0" w:color="auto"/>
                                    <w:left w:val="none" w:sz="0" w:space="0" w:color="auto"/>
                                    <w:bottom w:val="none" w:sz="0" w:space="0" w:color="auto"/>
                                    <w:right w:val="none" w:sz="0" w:space="0" w:color="auto"/>
                                  </w:divBdr>
                                  <w:divsChild>
                                    <w:div w:id="1890602844">
                                      <w:marLeft w:val="0"/>
                                      <w:marRight w:val="0"/>
                                      <w:marTop w:val="0"/>
                                      <w:marBottom w:val="0"/>
                                      <w:divBdr>
                                        <w:top w:val="none" w:sz="0" w:space="0" w:color="auto"/>
                                        <w:left w:val="none" w:sz="0" w:space="0" w:color="auto"/>
                                        <w:bottom w:val="none" w:sz="0" w:space="0" w:color="auto"/>
                                        <w:right w:val="none" w:sz="0" w:space="0" w:color="auto"/>
                                      </w:divBdr>
                                      <w:divsChild>
                                        <w:div w:id="879589664">
                                          <w:marLeft w:val="0"/>
                                          <w:marRight w:val="0"/>
                                          <w:marTop w:val="0"/>
                                          <w:marBottom w:val="0"/>
                                          <w:divBdr>
                                            <w:top w:val="none" w:sz="0" w:space="0" w:color="auto"/>
                                            <w:left w:val="none" w:sz="0" w:space="0" w:color="auto"/>
                                            <w:bottom w:val="none" w:sz="0" w:space="0" w:color="auto"/>
                                            <w:right w:val="none" w:sz="0" w:space="0" w:color="auto"/>
                                          </w:divBdr>
                                          <w:divsChild>
                                            <w:div w:id="1863200099">
                                              <w:marLeft w:val="0"/>
                                              <w:marRight w:val="0"/>
                                              <w:marTop w:val="0"/>
                                              <w:marBottom w:val="0"/>
                                              <w:divBdr>
                                                <w:top w:val="none" w:sz="0" w:space="0" w:color="auto"/>
                                                <w:left w:val="none" w:sz="0" w:space="0" w:color="auto"/>
                                                <w:bottom w:val="none" w:sz="0" w:space="0" w:color="auto"/>
                                                <w:right w:val="none" w:sz="0" w:space="0" w:color="auto"/>
                                              </w:divBdr>
                                              <w:divsChild>
                                                <w:div w:id="9383288">
                                                  <w:marLeft w:val="0"/>
                                                  <w:marRight w:val="0"/>
                                                  <w:marTop w:val="0"/>
                                                  <w:marBottom w:val="0"/>
                                                  <w:divBdr>
                                                    <w:top w:val="none" w:sz="0" w:space="0" w:color="auto"/>
                                                    <w:left w:val="none" w:sz="0" w:space="0" w:color="auto"/>
                                                    <w:bottom w:val="none" w:sz="0" w:space="0" w:color="auto"/>
                                                    <w:right w:val="none" w:sz="0" w:space="0" w:color="auto"/>
                                                  </w:divBdr>
                                                  <w:divsChild>
                                                    <w:div w:id="846793278">
                                                      <w:marLeft w:val="0"/>
                                                      <w:marRight w:val="0"/>
                                                      <w:marTop w:val="0"/>
                                                      <w:marBottom w:val="0"/>
                                                      <w:divBdr>
                                                        <w:top w:val="none" w:sz="0" w:space="0" w:color="auto"/>
                                                        <w:left w:val="none" w:sz="0" w:space="0" w:color="auto"/>
                                                        <w:bottom w:val="none" w:sz="0" w:space="0" w:color="auto"/>
                                                        <w:right w:val="none" w:sz="0" w:space="0" w:color="auto"/>
                                                      </w:divBdr>
                                                      <w:divsChild>
                                                        <w:div w:id="701789250">
                                                          <w:marLeft w:val="0"/>
                                                          <w:marRight w:val="0"/>
                                                          <w:marTop w:val="0"/>
                                                          <w:marBottom w:val="0"/>
                                                          <w:divBdr>
                                                            <w:top w:val="none" w:sz="0" w:space="0" w:color="auto"/>
                                                            <w:left w:val="none" w:sz="0" w:space="0" w:color="auto"/>
                                                            <w:bottom w:val="none" w:sz="0" w:space="0" w:color="auto"/>
                                                            <w:right w:val="none" w:sz="0" w:space="0" w:color="auto"/>
                                                          </w:divBdr>
                                                          <w:divsChild>
                                                            <w:div w:id="595286897">
                                                              <w:marLeft w:val="0"/>
                                                              <w:marRight w:val="0"/>
                                                              <w:marTop w:val="0"/>
                                                              <w:marBottom w:val="0"/>
                                                              <w:divBdr>
                                                                <w:top w:val="none" w:sz="0" w:space="0" w:color="auto"/>
                                                                <w:left w:val="none" w:sz="0" w:space="0" w:color="auto"/>
                                                                <w:bottom w:val="none" w:sz="0" w:space="0" w:color="auto"/>
                                                                <w:right w:val="none" w:sz="0" w:space="0" w:color="auto"/>
                                                              </w:divBdr>
                                                              <w:divsChild>
                                                                <w:div w:id="615017951">
                                                                  <w:marLeft w:val="0"/>
                                                                  <w:marRight w:val="0"/>
                                                                  <w:marTop w:val="0"/>
                                                                  <w:marBottom w:val="0"/>
                                                                  <w:divBdr>
                                                                    <w:top w:val="none" w:sz="0" w:space="0" w:color="auto"/>
                                                                    <w:left w:val="none" w:sz="0" w:space="0" w:color="auto"/>
                                                                    <w:bottom w:val="none" w:sz="0" w:space="0" w:color="auto"/>
                                                                    <w:right w:val="none" w:sz="0" w:space="0" w:color="auto"/>
                                                                  </w:divBdr>
                                                                  <w:divsChild>
                                                                    <w:div w:id="393478702">
                                                                      <w:marLeft w:val="0"/>
                                                                      <w:marRight w:val="0"/>
                                                                      <w:marTop w:val="0"/>
                                                                      <w:marBottom w:val="0"/>
                                                                      <w:divBdr>
                                                                        <w:top w:val="none" w:sz="0" w:space="0" w:color="auto"/>
                                                                        <w:left w:val="none" w:sz="0" w:space="0" w:color="auto"/>
                                                                        <w:bottom w:val="none" w:sz="0" w:space="0" w:color="auto"/>
                                                                        <w:right w:val="none" w:sz="0" w:space="0" w:color="auto"/>
                                                                      </w:divBdr>
                                                                      <w:divsChild>
                                                                        <w:div w:id="1207916424">
                                                                          <w:marLeft w:val="0"/>
                                                                          <w:marRight w:val="0"/>
                                                                          <w:marTop w:val="0"/>
                                                                          <w:marBottom w:val="0"/>
                                                                          <w:divBdr>
                                                                            <w:top w:val="none" w:sz="0" w:space="0" w:color="auto"/>
                                                                            <w:left w:val="none" w:sz="0" w:space="0" w:color="auto"/>
                                                                            <w:bottom w:val="none" w:sz="0" w:space="0" w:color="auto"/>
                                                                            <w:right w:val="none" w:sz="0" w:space="0" w:color="auto"/>
                                                                          </w:divBdr>
                                                                          <w:divsChild>
                                                                            <w:div w:id="1522357509">
                                                                              <w:marLeft w:val="0"/>
                                                                              <w:marRight w:val="0"/>
                                                                              <w:marTop w:val="0"/>
                                                                              <w:marBottom w:val="0"/>
                                                                              <w:divBdr>
                                                                                <w:top w:val="none" w:sz="0" w:space="0" w:color="auto"/>
                                                                                <w:left w:val="none" w:sz="0" w:space="0" w:color="auto"/>
                                                                                <w:bottom w:val="none" w:sz="0" w:space="0" w:color="auto"/>
                                                                                <w:right w:val="none" w:sz="0" w:space="0" w:color="auto"/>
                                                                              </w:divBdr>
                                                                              <w:divsChild>
                                                                                <w:div w:id="1999918952">
                                                                                  <w:marLeft w:val="0"/>
                                                                                  <w:marRight w:val="0"/>
                                                                                  <w:marTop w:val="0"/>
                                                                                  <w:marBottom w:val="0"/>
                                                                                  <w:divBdr>
                                                                                    <w:top w:val="none" w:sz="0" w:space="0" w:color="auto"/>
                                                                                    <w:left w:val="none" w:sz="0" w:space="0" w:color="auto"/>
                                                                                    <w:bottom w:val="none" w:sz="0" w:space="0" w:color="auto"/>
                                                                                    <w:right w:val="none" w:sz="0" w:space="0" w:color="auto"/>
                                                                                  </w:divBdr>
                                                                                  <w:divsChild>
                                                                                    <w:div w:id="934676984">
                                                                                      <w:marLeft w:val="0"/>
                                                                                      <w:marRight w:val="0"/>
                                                                                      <w:marTop w:val="0"/>
                                                                                      <w:marBottom w:val="0"/>
                                                                                      <w:divBdr>
                                                                                        <w:top w:val="none" w:sz="0" w:space="0" w:color="auto"/>
                                                                                        <w:left w:val="none" w:sz="0" w:space="0" w:color="auto"/>
                                                                                        <w:bottom w:val="none" w:sz="0" w:space="0" w:color="auto"/>
                                                                                        <w:right w:val="none" w:sz="0" w:space="0" w:color="auto"/>
                                                                                      </w:divBdr>
                                                                                      <w:divsChild>
                                                                                        <w:div w:id="557473239">
                                                                                          <w:marLeft w:val="0"/>
                                                                                          <w:marRight w:val="0"/>
                                                                                          <w:marTop w:val="0"/>
                                                                                          <w:marBottom w:val="0"/>
                                                                                          <w:divBdr>
                                                                                            <w:top w:val="none" w:sz="0" w:space="0" w:color="auto"/>
                                                                                            <w:left w:val="none" w:sz="0" w:space="0" w:color="auto"/>
                                                                                            <w:bottom w:val="none" w:sz="0" w:space="0" w:color="auto"/>
                                                                                            <w:right w:val="none" w:sz="0" w:space="0" w:color="auto"/>
                                                                                          </w:divBdr>
                                                                                          <w:divsChild>
                                                                                            <w:div w:id="1080715673">
                                                                                              <w:marLeft w:val="0"/>
                                                                                              <w:marRight w:val="0"/>
                                                                                              <w:marTop w:val="0"/>
                                                                                              <w:marBottom w:val="0"/>
                                                                                              <w:divBdr>
                                                                                                <w:top w:val="none" w:sz="0" w:space="0" w:color="auto"/>
                                                                                                <w:left w:val="none" w:sz="0" w:space="0" w:color="auto"/>
                                                                                                <w:bottom w:val="none" w:sz="0" w:space="0" w:color="auto"/>
                                                                                                <w:right w:val="none" w:sz="0" w:space="0" w:color="auto"/>
                                                                                              </w:divBdr>
                                                                                            </w:div>
                                                                                            <w:div w:id="673847550">
                                                                                              <w:marLeft w:val="0"/>
                                                                                              <w:marRight w:val="0"/>
                                                                                              <w:marTop w:val="0"/>
                                                                                              <w:marBottom w:val="0"/>
                                                                                              <w:divBdr>
                                                                                                <w:top w:val="none" w:sz="0" w:space="0" w:color="auto"/>
                                                                                                <w:left w:val="none" w:sz="0" w:space="0" w:color="auto"/>
                                                                                                <w:bottom w:val="none" w:sz="0" w:space="0" w:color="auto"/>
                                                                                                <w:right w:val="none" w:sz="0" w:space="0" w:color="auto"/>
                                                                                              </w:divBdr>
                                                                                            </w:div>
                                                                                            <w:div w:id="1239049586">
                                                                                              <w:marLeft w:val="0"/>
                                                                                              <w:marRight w:val="0"/>
                                                                                              <w:marTop w:val="0"/>
                                                                                              <w:marBottom w:val="0"/>
                                                                                              <w:divBdr>
                                                                                                <w:top w:val="none" w:sz="0" w:space="0" w:color="auto"/>
                                                                                                <w:left w:val="none" w:sz="0" w:space="0" w:color="auto"/>
                                                                                                <w:bottom w:val="none" w:sz="0" w:space="0" w:color="auto"/>
                                                                                                <w:right w:val="none" w:sz="0" w:space="0" w:color="auto"/>
                                                                                              </w:divBdr>
                                                                                            </w:div>
                                                                                            <w:div w:id="2053117830">
                                                                                              <w:marLeft w:val="0"/>
                                                                                              <w:marRight w:val="0"/>
                                                                                              <w:marTop w:val="0"/>
                                                                                              <w:marBottom w:val="0"/>
                                                                                              <w:divBdr>
                                                                                                <w:top w:val="none" w:sz="0" w:space="0" w:color="auto"/>
                                                                                                <w:left w:val="none" w:sz="0" w:space="0" w:color="auto"/>
                                                                                                <w:bottom w:val="none" w:sz="0" w:space="0" w:color="auto"/>
                                                                                                <w:right w:val="none" w:sz="0" w:space="0" w:color="auto"/>
                                                                                              </w:divBdr>
                                                                                            </w:div>
                                                                                            <w:div w:id="1986080215">
                                                                                              <w:marLeft w:val="0"/>
                                                                                              <w:marRight w:val="0"/>
                                                                                              <w:marTop w:val="0"/>
                                                                                              <w:marBottom w:val="0"/>
                                                                                              <w:divBdr>
                                                                                                <w:top w:val="none" w:sz="0" w:space="0" w:color="auto"/>
                                                                                                <w:left w:val="none" w:sz="0" w:space="0" w:color="auto"/>
                                                                                                <w:bottom w:val="none" w:sz="0" w:space="0" w:color="auto"/>
                                                                                                <w:right w:val="none" w:sz="0" w:space="0" w:color="auto"/>
                                                                                              </w:divBdr>
                                                                                            </w:div>
                                                                                            <w:div w:id="476411453">
                                                                                              <w:marLeft w:val="0"/>
                                                                                              <w:marRight w:val="0"/>
                                                                                              <w:marTop w:val="0"/>
                                                                                              <w:marBottom w:val="0"/>
                                                                                              <w:divBdr>
                                                                                                <w:top w:val="none" w:sz="0" w:space="0" w:color="auto"/>
                                                                                                <w:left w:val="none" w:sz="0" w:space="0" w:color="auto"/>
                                                                                                <w:bottom w:val="none" w:sz="0" w:space="0" w:color="auto"/>
                                                                                                <w:right w:val="none" w:sz="0" w:space="0" w:color="auto"/>
                                                                                              </w:divBdr>
                                                                                            </w:div>
                                                                                            <w:div w:id="774328375">
                                                                                              <w:marLeft w:val="0"/>
                                                                                              <w:marRight w:val="0"/>
                                                                                              <w:marTop w:val="0"/>
                                                                                              <w:marBottom w:val="0"/>
                                                                                              <w:divBdr>
                                                                                                <w:top w:val="none" w:sz="0" w:space="0" w:color="auto"/>
                                                                                                <w:left w:val="none" w:sz="0" w:space="0" w:color="auto"/>
                                                                                                <w:bottom w:val="none" w:sz="0" w:space="0" w:color="auto"/>
                                                                                                <w:right w:val="none" w:sz="0" w:space="0" w:color="auto"/>
                                                                                              </w:divBdr>
                                                                                            </w:div>
                                                                                            <w:div w:id="174086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0865331">
      <w:bodyDiv w:val="1"/>
      <w:marLeft w:val="0"/>
      <w:marRight w:val="0"/>
      <w:marTop w:val="0"/>
      <w:marBottom w:val="0"/>
      <w:divBdr>
        <w:top w:val="none" w:sz="0" w:space="0" w:color="auto"/>
        <w:left w:val="none" w:sz="0" w:space="0" w:color="auto"/>
        <w:bottom w:val="none" w:sz="0" w:space="0" w:color="auto"/>
        <w:right w:val="none" w:sz="0" w:space="0" w:color="auto"/>
      </w:divBdr>
      <w:divsChild>
        <w:div w:id="1003314477">
          <w:marLeft w:val="0"/>
          <w:marRight w:val="0"/>
          <w:marTop w:val="0"/>
          <w:marBottom w:val="0"/>
          <w:divBdr>
            <w:top w:val="none" w:sz="0" w:space="0" w:color="auto"/>
            <w:left w:val="none" w:sz="0" w:space="0" w:color="auto"/>
            <w:bottom w:val="none" w:sz="0" w:space="0" w:color="auto"/>
            <w:right w:val="none" w:sz="0" w:space="0" w:color="auto"/>
          </w:divBdr>
          <w:divsChild>
            <w:div w:id="1490974396">
              <w:marLeft w:val="0"/>
              <w:marRight w:val="0"/>
              <w:marTop w:val="0"/>
              <w:marBottom w:val="0"/>
              <w:divBdr>
                <w:top w:val="none" w:sz="0" w:space="0" w:color="auto"/>
                <w:left w:val="none" w:sz="0" w:space="0" w:color="auto"/>
                <w:bottom w:val="none" w:sz="0" w:space="0" w:color="auto"/>
                <w:right w:val="none" w:sz="0" w:space="0" w:color="auto"/>
              </w:divBdr>
              <w:divsChild>
                <w:div w:id="1912276751">
                  <w:marLeft w:val="0"/>
                  <w:marRight w:val="0"/>
                  <w:marTop w:val="0"/>
                  <w:marBottom w:val="0"/>
                  <w:divBdr>
                    <w:top w:val="none" w:sz="0" w:space="0" w:color="auto"/>
                    <w:left w:val="none" w:sz="0" w:space="0" w:color="auto"/>
                    <w:bottom w:val="none" w:sz="0" w:space="0" w:color="auto"/>
                    <w:right w:val="none" w:sz="0" w:space="0" w:color="auto"/>
                  </w:divBdr>
                  <w:divsChild>
                    <w:div w:id="839345435">
                      <w:marLeft w:val="0"/>
                      <w:marRight w:val="0"/>
                      <w:marTop w:val="0"/>
                      <w:marBottom w:val="0"/>
                      <w:divBdr>
                        <w:top w:val="none" w:sz="0" w:space="0" w:color="auto"/>
                        <w:left w:val="none" w:sz="0" w:space="0" w:color="auto"/>
                        <w:bottom w:val="none" w:sz="0" w:space="0" w:color="auto"/>
                        <w:right w:val="none" w:sz="0" w:space="0" w:color="auto"/>
                      </w:divBdr>
                      <w:divsChild>
                        <w:div w:id="111286735">
                          <w:marLeft w:val="0"/>
                          <w:marRight w:val="0"/>
                          <w:marTop w:val="0"/>
                          <w:marBottom w:val="0"/>
                          <w:divBdr>
                            <w:top w:val="none" w:sz="0" w:space="0" w:color="auto"/>
                            <w:left w:val="none" w:sz="0" w:space="0" w:color="auto"/>
                            <w:bottom w:val="none" w:sz="0" w:space="0" w:color="auto"/>
                            <w:right w:val="none" w:sz="0" w:space="0" w:color="auto"/>
                          </w:divBdr>
                          <w:divsChild>
                            <w:div w:id="1791624289">
                              <w:marLeft w:val="0"/>
                              <w:marRight w:val="0"/>
                              <w:marTop w:val="0"/>
                              <w:marBottom w:val="0"/>
                              <w:divBdr>
                                <w:top w:val="none" w:sz="0" w:space="0" w:color="auto"/>
                                <w:left w:val="none" w:sz="0" w:space="0" w:color="auto"/>
                                <w:bottom w:val="none" w:sz="0" w:space="0" w:color="auto"/>
                                <w:right w:val="none" w:sz="0" w:space="0" w:color="auto"/>
                              </w:divBdr>
                              <w:divsChild>
                                <w:div w:id="1216117925">
                                  <w:marLeft w:val="0"/>
                                  <w:marRight w:val="0"/>
                                  <w:marTop w:val="0"/>
                                  <w:marBottom w:val="0"/>
                                  <w:divBdr>
                                    <w:top w:val="none" w:sz="0" w:space="0" w:color="auto"/>
                                    <w:left w:val="none" w:sz="0" w:space="0" w:color="auto"/>
                                    <w:bottom w:val="none" w:sz="0" w:space="0" w:color="auto"/>
                                    <w:right w:val="none" w:sz="0" w:space="0" w:color="auto"/>
                                  </w:divBdr>
                                  <w:divsChild>
                                    <w:div w:id="972490397">
                                      <w:marLeft w:val="0"/>
                                      <w:marRight w:val="0"/>
                                      <w:marTop w:val="0"/>
                                      <w:marBottom w:val="0"/>
                                      <w:divBdr>
                                        <w:top w:val="none" w:sz="0" w:space="0" w:color="auto"/>
                                        <w:left w:val="none" w:sz="0" w:space="0" w:color="auto"/>
                                        <w:bottom w:val="none" w:sz="0" w:space="0" w:color="auto"/>
                                        <w:right w:val="none" w:sz="0" w:space="0" w:color="auto"/>
                                      </w:divBdr>
                                      <w:divsChild>
                                        <w:div w:id="79105066">
                                          <w:marLeft w:val="0"/>
                                          <w:marRight w:val="0"/>
                                          <w:marTop w:val="0"/>
                                          <w:marBottom w:val="0"/>
                                          <w:divBdr>
                                            <w:top w:val="none" w:sz="0" w:space="0" w:color="auto"/>
                                            <w:left w:val="none" w:sz="0" w:space="0" w:color="auto"/>
                                            <w:bottom w:val="none" w:sz="0" w:space="0" w:color="auto"/>
                                            <w:right w:val="none" w:sz="0" w:space="0" w:color="auto"/>
                                          </w:divBdr>
                                          <w:divsChild>
                                            <w:div w:id="733744439">
                                              <w:marLeft w:val="0"/>
                                              <w:marRight w:val="0"/>
                                              <w:marTop w:val="0"/>
                                              <w:marBottom w:val="0"/>
                                              <w:divBdr>
                                                <w:top w:val="none" w:sz="0" w:space="0" w:color="auto"/>
                                                <w:left w:val="none" w:sz="0" w:space="0" w:color="auto"/>
                                                <w:bottom w:val="none" w:sz="0" w:space="0" w:color="auto"/>
                                                <w:right w:val="none" w:sz="0" w:space="0" w:color="auto"/>
                                              </w:divBdr>
                                              <w:divsChild>
                                                <w:div w:id="1237130089">
                                                  <w:marLeft w:val="0"/>
                                                  <w:marRight w:val="0"/>
                                                  <w:marTop w:val="0"/>
                                                  <w:marBottom w:val="0"/>
                                                  <w:divBdr>
                                                    <w:top w:val="none" w:sz="0" w:space="0" w:color="auto"/>
                                                    <w:left w:val="none" w:sz="0" w:space="0" w:color="auto"/>
                                                    <w:bottom w:val="none" w:sz="0" w:space="0" w:color="auto"/>
                                                    <w:right w:val="none" w:sz="0" w:space="0" w:color="auto"/>
                                                  </w:divBdr>
                                                  <w:divsChild>
                                                    <w:div w:id="683212932">
                                                      <w:marLeft w:val="0"/>
                                                      <w:marRight w:val="0"/>
                                                      <w:marTop w:val="0"/>
                                                      <w:marBottom w:val="0"/>
                                                      <w:divBdr>
                                                        <w:top w:val="none" w:sz="0" w:space="0" w:color="auto"/>
                                                        <w:left w:val="none" w:sz="0" w:space="0" w:color="auto"/>
                                                        <w:bottom w:val="none" w:sz="0" w:space="0" w:color="auto"/>
                                                        <w:right w:val="none" w:sz="0" w:space="0" w:color="auto"/>
                                                      </w:divBdr>
                                                      <w:divsChild>
                                                        <w:div w:id="1027944416">
                                                          <w:marLeft w:val="0"/>
                                                          <w:marRight w:val="0"/>
                                                          <w:marTop w:val="0"/>
                                                          <w:marBottom w:val="0"/>
                                                          <w:divBdr>
                                                            <w:top w:val="none" w:sz="0" w:space="0" w:color="auto"/>
                                                            <w:left w:val="none" w:sz="0" w:space="0" w:color="auto"/>
                                                            <w:bottom w:val="none" w:sz="0" w:space="0" w:color="auto"/>
                                                            <w:right w:val="none" w:sz="0" w:space="0" w:color="auto"/>
                                                          </w:divBdr>
                                                          <w:divsChild>
                                                            <w:div w:id="125975331">
                                                              <w:marLeft w:val="0"/>
                                                              <w:marRight w:val="0"/>
                                                              <w:marTop w:val="0"/>
                                                              <w:marBottom w:val="0"/>
                                                              <w:divBdr>
                                                                <w:top w:val="none" w:sz="0" w:space="0" w:color="auto"/>
                                                                <w:left w:val="none" w:sz="0" w:space="0" w:color="auto"/>
                                                                <w:bottom w:val="none" w:sz="0" w:space="0" w:color="auto"/>
                                                                <w:right w:val="none" w:sz="0" w:space="0" w:color="auto"/>
                                                              </w:divBdr>
                                                              <w:divsChild>
                                                                <w:div w:id="2006744330">
                                                                  <w:marLeft w:val="0"/>
                                                                  <w:marRight w:val="0"/>
                                                                  <w:marTop w:val="0"/>
                                                                  <w:marBottom w:val="0"/>
                                                                  <w:divBdr>
                                                                    <w:top w:val="none" w:sz="0" w:space="0" w:color="auto"/>
                                                                    <w:left w:val="none" w:sz="0" w:space="0" w:color="auto"/>
                                                                    <w:bottom w:val="none" w:sz="0" w:space="0" w:color="auto"/>
                                                                    <w:right w:val="none" w:sz="0" w:space="0" w:color="auto"/>
                                                                  </w:divBdr>
                                                                  <w:divsChild>
                                                                    <w:div w:id="521431657">
                                                                      <w:marLeft w:val="0"/>
                                                                      <w:marRight w:val="0"/>
                                                                      <w:marTop w:val="0"/>
                                                                      <w:marBottom w:val="0"/>
                                                                      <w:divBdr>
                                                                        <w:top w:val="none" w:sz="0" w:space="0" w:color="auto"/>
                                                                        <w:left w:val="none" w:sz="0" w:space="0" w:color="auto"/>
                                                                        <w:bottom w:val="none" w:sz="0" w:space="0" w:color="auto"/>
                                                                        <w:right w:val="none" w:sz="0" w:space="0" w:color="auto"/>
                                                                      </w:divBdr>
                                                                      <w:divsChild>
                                                                        <w:div w:id="1990134982">
                                                                          <w:marLeft w:val="0"/>
                                                                          <w:marRight w:val="0"/>
                                                                          <w:marTop w:val="0"/>
                                                                          <w:marBottom w:val="0"/>
                                                                          <w:divBdr>
                                                                            <w:top w:val="none" w:sz="0" w:space="0" w:color="auto"/>
                                                                            <w:left w:val="none" w:sz="0" w:space="0" w:color="auto"/>
                                                                            <w:bottom w:val="none" w:sz="0" w:space="0" w:color="auto"/>
                                                                            <w:right w:val="none" w:sz="0" w:space="0" w:color="auto"/>
                                                                          </w:divBdr>
                                                                          <w:divsChild>
                                                                            <w:div w:id="1768040811">
                                                                              <w:marLeft w:val="0"/>
                                                                              <w:marRight w:val="0"/>
                                                                              <w:marTop w:val="0"/>
                                                                              <w:marBottom w:val="0"/>
                                                                              <w:divBdr>
                                                                                <w:top w:val="none" w:sz="0" w:space="0" w:color="auto"/>
                                                                                <w:left w:val="none" w:sz="0" w:space="0" w:color="auto"/>
                                                                                <w:bottom w:val="none" w:sz="0" w:space="0" w:color="auto"/>
                                                                                <w:right w:val="none" w:sz="0" w:space="0" w:color="auto"/>
                                                                              </w:divBdr>
                                                                              <w:divsChild>
                                                                                <w:div w:id="885338288">
                                                                                  <w:marLeft w:val="0"/>
                                                                                  <w:marRight w:val="0"/>
                                                                                  <w:marTop w:val="0"/>
                                                                                  <w:marBottom w:val="0"/>
                                                                                  <w:divBdr>
                                                                                    <w:top w:val="none" w:sz="0" w:space="0" w:color="auto"/>
                                                                                    <w:left w:val="none" w:sz="0" w:space="0" w:color="auto"/>
                                                                                    <w:bottom w:val="none" w:sz="0" w:space="0" w:color="auto"/>
                                                                                    <w:right w:val="none" w:sz="0" w:space="0" w:color="auto"/>
                                                                                  </w:divBdr>
                                                                                  <w:divsChild>
                                                                                    <w:div w:id="5065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17075752">
      <w:bodyDiv w:val="1"/>
      <w:marLeft w:val="0"/>
      <w:marRight w:val="0"/>
      <w:marTop w:val="0"/>
      <w:marBottom w:val="0"/>
      <w:divBdr>
        <w:top w:val="none" w:sz="0" w:space="0" w:color="auto"/>
        <w:left w:val="none" w:sz="0" w:space="0" w:color="auto"/>
        <w:bottom w:val="none" w:sz="0" w:space="0" w:color="auto"/>
        <w:right w:val="none" w:sz="0" w:space="0" w:color="auto"/>
      </w:divBdr>
      <w:divsChild>
        <w:div w:id="568272750">
          <w:marLeft w:val="0"/>
          <w:marRight w:val="0"/>
          <w:marTop w:val="0"/>
          <w:marBottom w:val="0"/>
          <w:divBdr>
            <w:top w:val="none" w:sz="0" w:space="0" w:color="auto"/>
            <w:left w:val="none" w:sz="0" w:space="0" w:color="auto"/>
            <w:bottom w:val="none" w:sz="0" w:space="0" w:color="auto"/>
            <w:right w:val="none" w:sz="0" w:space="0" w:color="auto"/>
          </w:divBdr>
        </w:div>
        <w:div w:id="689527462">
          <w:marLeft w:val="0"/>
          <w:marRight w:val="0"/>
          <w:marTop w:val="0"/>
          <w:marBottom w:val="0"/>
          <w:divBdr>
            <w:top w:val="none" w:sz="0" w:space="0" w:color="auto"/>
            <w:left w:val="none" w:sz="0" w:space="0" w:color="auto"/>
            <w:bottom w:val="none" w:sz="0" w:space="0" w:color="auto"/>
            <w:right w:val="none" w:sz="0" w:space="0" w:color="auto"/>
          </w:divBdr>
        </w:div>
      </w:divsChild>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3503932">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449395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5126175">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31361186">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5718500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4153466">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16969074">
      <w:bodyDiv w:val="1"/>
      <w:marLeft w:val="0"/>
      <w:marRight w:val="0"/>
      <w:marTop w:val="0"/>
      <w:marBottom w:val="0"/>
      <w:divBdr>
        <w:top w:val="none" w:sz="0" w:space="0" w:color="auto"/>
        <w:left w:val="none" w:sz="0" w:space="0" w:color="auto"/>
        <w:bottom w:val="none" w:sz="0" w:space="0" w:color="auto"/>
        <w:right w:val="none" w:sz="0" w:space="0" w:color="auto"/>
      </w:divBdr>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34899418">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3123889">
      <w:bodyDiv w:val="1"/>
      <w:marLeft w:val="0"/>
      <w:marRight w:val="0"/>
      <w:marTop w:val="0"/>
      <w:marBottom w:val="0"/>
      <w:divBdr>
        <w:top w:val="none" w:sz="0" w:space="0" w:color="auto"/>
        <w:left w:val="none" w:sz="0" w:space="0" w:color="auto"/>
        <w:bottom w:val="none" w:sz="0" w:space="0" w:color="auto"/>
        <w:right w:val="none" w:sz="0" w:space="0" w:color="auto"/>
      </w:divBdr>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25017">
      <w:bodyDiv w:val="1"/>
      <w:marLeft w:val="0"/>
      <w:marRight w:val="0"/>
      <w:marTop w:val="0"/>
      <w:marBottom w:val="0"/>
      <w:divBdr>
        <w:top w:val="none" w:sz="0" w:space="0" w:color="auto"/>
        <w:left w:val="none" w:sz="0" w:space="0" w:color="auto"/>
        <w:bottom w:val="none" w:sz="0" w:space="0" w:color="auto"/>
        <w:right w:val="none" w:sz="0" w:space="0" w:color="auto"/>
      </w:divBdr>
    </w:div>
    <w:div w:id="1284464129">
      <w:bodyDiv w:val="1"/>
      <w:marLeft w:val="0"/>
      <w:marRight w:val="0"/>
      <w:marTop w:val="0"/>
      <w:marBottom w:val="0"/>
      <w:divBdr>
        <w:top w:val="none" w:sz="0" w:space="0" w:color="auto"/>
        <w:left w:val="none" w:sz="0" w:space="0" w:color="auto"/>
        <w:bottom w:val="none" w:sz="0" w:space="0" w:color="auto"/>
        <w:right w:val="none" w:sz="0" w:space="0" w:color="auto"/>
      </w:divBdr>
    </w:div>
    <w:div w:id="1287157250">
      <w:bodyDiv w:val="1"/>
      <w:marLeft w:val="0"/>
      <w:marRight w:val="0"/>
      <w:marTop w:val="0"/>
      <w:marBottom w:val="0"/>
      <w:divBdr>
        <w:top w:val="none" w:sz="0" w:space="0" w:color="auto"/>
        <w:left w:val="none" w:sz="0" w:space="0" w:color="auto"/>
        <w:bottom w:val="none" w:sz="0" w:space="0" w:color="auto"/>
        <w:right w:val="none" w:sz="0" w:space="0" w:color="auto"/>
      </w:divBdr>
      <w:divsChild>
        <w:div w:id="840237482">
          <w:marLeft w:val="0"/>
          <w:marRight w:val="0"/>
          <w:marTop w:val="0"/>
          <w:marBottom w:val="0"/>
          <w:divBdr>
            <w:top w:val="none" w:sz="0" w:space="0" w:color="auto"/>
            <w:left w:val="none" w:sz="0" w:space="0" w:color="auto"/>
            <w:bottom w:val="none" w:sz="0" w:space="0" w:color="auto"/>
            <w:right w:val="none" w:sz="0" w:space="0" w:color="auto"/>
          </w:divBdr>
          <w:divsChild>
            <w:div w:id="1332217114">
              <w:marLeft w:val="0"/>
              <w:marRight w:val="0"/>
              <w:marTop w:val="0"/>
              <w:marBottom w:val="0"/>
              <w:divBdr>
                <w:top w:val="none" w:sz="0" w:space="0" w:color="auto"/>
                <w:left w:val="none" w:sz="0" w:space="0" w:color="auto"/>
                <w:bottom w:val="none" w:sz="0" w:space="0" w:color="auto"/>
                <w:right w:val="none" w:sz="0" w:space="0" w:color="auto"/>
              </w:divBdr>
              <w:divsChild>
                <w:div w:id="78915702">
                  <w:marLeft w:val="0"/>
                  <w:marRight w:val="0"/>
                  <w:marTop w:val="0"/>
                  <w:marBottom w:val="0"/>
                  <w:divBdr>
                    <w:top w:val="none" w:sz="0" w:space="0" w:color="auto"/>
                    <w:left w:val="none" w:sz="0" w:space="0" w:color="auto"/>
                    <w:bottom w:val="none" w:sz="0" w:space="0" w:color="auto"/>
                    <w:right w:val="none" w:sz="0" w:space="0" w:color="auto"/>
                  </w:divBdr>
                  <w:divsChild>
                    <w:div w:id="1813013951">
                      <w:marLeft w:val="0"/>
                      <w:marRight w:val="0"/>
                      <w:marTop w:val="0"/>
                      <w:marBottom w:val="0"/>
                      <w:divBdr>
                        <w:top w:val="none" w:sz="0" w:space="0" w:color="auto"/>
                        <w:left w:val="none" w:sz="0" w:space="0" w:color="auto"/>
                        <w:bottom w:val="none" w:sz="0" w:space="0" w:color="auto"/>
                        <w:right w:val="none" w:sz="0" w:space="0" w:color="auto"/>
                      </w:divBdr>
                      <w:divsChild>
                        <w:div w:id="1945528330">
                          <w:marLeft w:val="0"/>
                          <w:marRight w:val="0"/>
                          <w:marTop w:val="0"/>
                          <w:marBottom w:val="0"/>
                          <w:divBdr>
                            <w:top w:val="none" w:sz="0" w:space="0" w:color="auto"/>
                            <w:left w:val="none" w:sz="0" w:space="0" w:color="auto"/>
                            <w:bottom w:val="none" w:sz="0" w:space="0" w:color="auto"/>
                            <w:right w:val="none" w:sz="0" w:space="0" w:color="auto"/>
                          </w:divBdr>
                          <w:divsChild>
                            <w:div w:id="1932424683">
                              <w:marLeft w:val="0"/>
                              <w:marRight w:val="0"/>
                              <w:marTop w:val="0"/>
                              <w:marBottom w:val="0"/>
                              <w:divBdr>
                                <w:top w:val="none" w:sz="0" w:space="0" w:color="auto"/>
                                <w:left w:val="none" w:sz="0" w:space="0" w:color="auto"/>
                                <w:bottom w:val="none" w:sz="0" w:space="0" w:color="auto"/>
                                <w:right w:val="none" w:sz="0" w:space="0" w:color="auto"/>
                              </w:divBdr>
                              <w:divsChild>
                                <w:div w:id="1498229566">
                                  <w:marLeft w:val="0"/>
                                  <w:marRight w:val="0"/>
                                  <w:marTop w:val="210"/>
                                  <w:marBottom w:val="0"/>
                                  <w:divBdr>
                                    <w:top w:val="none" w:sz="0" w:space="0" w:color="auto"/>
                                    <w:left w:val="none" w:sz="0" w:space="0" w:color="auto"/>
                                    <w:bottom w:val="none" w:sz="0" w:space="0" w:color="auto"/>
                                    <w:right w:val="none" w:sz="0" w:space="0" w:color="auto"/>
                                  </w:divBdr>
                                  <w:divsChild>
                                    <w:div w:id="1853302689">
                                      <w:marLeft w:val="0"/>
                                      <w:marRight w:val="0"/>
                                      <w:marTop w:val="0"/>
                                      <w:marBottom w:val="0"/>
                                      <w:divBdr>
                                        <w:top w:val="none" w:sz="0" w:space="0" w:color="auto"/>
                                        <w:left w:val="none" w:sz="0" w:space="0" w:color="auto"/>
                                        <w:bottom w:val="none" w:sz="0" w:space="0" w:color="auto"/>
                                        <w:right w:val="none" w:sz="0" w:space="0" w:color="auto"/>
                                      </w:divBdr>
                                      <w:divsChild>
                                        <w:div w:id="769399913">
                                          <w:marLeft w:val="-240"/>
                                          <w:marRight w:val="-240"/>
                                          <w:marTop w:val="0"/>
                                          <w:marBottom w:val="0"/>
                                          <w:divBdr>
                                            <w:top w:val="none" w:sz="0" w:space="0" w:color="auto"/>
                                            <w:left w:val="none" w:sz="0" w:space="0" w:color="auto"/>
                                            <w:bottom w:val="none" w:sz="0" w:space="0" w:color="auto"/>
                                            <w:right w:val="none" w:sz="0" w:space="0" w:color="auto"/>
                                          </w:divBdr>
                                          <w:divsChild>
                                            <w:div w:id="559054695">
                                              <w:marLeft w:val="0"/>
                                              <w:marRight w:val="0"/>
                                              <w:marTop w:val="0"/>
                                              <w:marBottom w:val="0"/>
                                              <w:divBdr>
                                                <w:top w:val="none" w:sz="0" w:space="0" w:color="auto"/>
                                                <w:left w:val="none" w:sz="0" w:space="0" w:color="auto"/>
                                                <w:bottom w:val="none" w:sz="0" w:space="0" w:color="auto"/>
                                                <w:right w:val="none" w:sz="0" w:space="0" w:color="auto"/>
                                              </w:divBdr>
                                              <w:divsChild>
                                                <w:div w:id="1546328383">
                                                  <w:marLeft w:val="0"/>
                                                  <w:marRight w:val="0"/>
                                                  <w:marTop w:val="150"/>
                                                  <w:marBottom w:val="270"/>
                                                  <w:divBdr>
                                                    <w:top w:val="none" w:sz="0" w:space="0" w:color="auto"/>
                                                    <w:left w:val="none" w:sz="0" w:space="0" w:color="auto"/>
                                                    <w:bottom w:val="none" w:sz="0" w:space="0" w:color="auto"/>
                                                    <w:right w:val="none" w:sz="0" w:space="0" w:color="auto"/>
                                                  </w:divBdr>
                                                  <w:divsChild>
                                                    <w:div w:id="1798258300">
                                                      <w:marLeft w:val="0"/>
                                                      <w:marRight w:val="0"/>
                                                      <w:marTop w:val="150"/>
                                                      <w:marBottom w:val="270"/>
                                                      <w:divBdr>
                                                        <w:top w:val="none" w:sz="0" w:space="0" w:color="auto"/>
                                                        <w:left w:val="none" w:sz="0" w:space="0" w:color="auto"/>
                                                        <w:bottom w:val="none" w:sz="0" w:space="0" w:color="auto"/>
                                                        <w:right w:val="none" w:sz="0" w:space="0" w:color="auto"/>
                                                      </w:divBdr>
                                                    </w:div>
                                                    <w:div w:id="642929107">
                                                      <w:marLeft w:val="0"/>
                                                      <w:marRight w:val="0"/>
                                                      <w:marTop w:val="150"/>
                                                      <w:marBottom w:val="270"/>
                                                      <w:divBdr>
                                                        <w:top w:val="none" w:sz="0" w:space="0" w:color="auto"/>
                                                        <w:left w:val="none" w:sz="0" w:space="0" w:color="auto"/>
                                                        <w:bottom w:val="none" w:sz="0" w:space="0" w:color="auto"/>
                                                        <w:right w:val="none" w:sz="0" w:space="0" w:color="auto"/>
                                                      </w:divBdr>
                                                    </w:div>
                                                    <w:div w:id="658271942">
                                                      <w:marLeft w:val="0"/>
                                                      <w:marRight w:val="0"/>
                                                      <w:marTop w:val="150"/>
                                                      <w:marBottom w:val="270"/>
                                                      <w:divBdr>
                                                        <w:top w:val="none" w:sz="0" w:space="0" w:color="auto"/>
                                                        <w:left w:val="none" w:sz="0" w:space="0" w:color="auto"/>
                                                        <w:bottom w:val="none" w:sz="0" w:space="0" w:color="auto"/>
                                                        <w:right w:val="none" w:sz="0" w:space="0" w:color="auto"/>
                                                      </w:divBdr>
                                                    </w:div>
                                                    <w:div w:id="1149325680">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25861272">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2317384">
      <w:bodyDiv w:val="1"/>
      <w:marLeft w:val="0"/>
      <w:marRight w:val="0"/>
      <w:marTop w:val="0"/>
      <w:marBottom w:val="0"/>
      <w:divBdr>
        <w:top w:val="none" w:sz="0" w:space="0" w:color="auto"/>
        <w:left w:val="none" w:sz="0" w:space="0" w:color="auto"/>
        <w:bottom w:val="none" w:sz="0" w:space="0" w:color="auto"/>
        <w:right w:val="none" w:sz="0" w:space="0" w:color="auto"/>
      </w:divBdr>
    </w:div>
    <w:div w:id="1344164259">
      <w:bodyDiv w:val="1"/>
      <w:marLeft w:val="0"/>
      <w:marRight w:val="0"/>
      <w:marTop w:val="0"/>
      <w:marBottom w:val="0"/>
      <w:divBdr>
        <w:top w:val="none" w:sz="0" w:space="0" w:color="auto"/>
        <w:left w:val="none" w:sz="0" w:space="0" w:color="auto"/>
        <w:bottom w:val="none" w:sz="0" w:space="0" w:color="auto"/>
        <w:right w:val="none" w:sz="0" w:space="0" w:color="auto"/>
      </w:divBdr>
      <w:divsChild>
        <w:div w:id="631401789">
          <w:marLeft w:val="0"/>
          <w:marRight w:val="0"/>
          <w:marTop w:val="0"/>
          <w:marBottom w:val="0"/>
          <w:divBdr>
            <w:top w:val="none" w:sz="0" w:space="0" w:color="auto"/>
            <w:left w:val="none" w:sz="0" w:space="0" w:color="auto"/>
            <w:bottom w:val="none" w:sz="0" w:space="0" w:color="auto"/>
            <w:right w:val="none" w:sz="0" w:space="0" w:color="auto"/>
          </w:divBdr>
        </w:div>
        <w:div w:id="1561986855">
          <w:marLeft w:val="0"/>
          <w:marRight w:val="0"/>
          <w:marTop w:val="0"/>
          <w:marBottom w:val="0"/>
          <w:divBdr>
            <w:top w:val="none" w:sz="0" w:space="0" w:color="auto"/>
            <w:left w:val="none" w:sz="0" w:space="0" w:color="auto"/>
            <w:bottom w:val="none" w:sz="0" w:space="0" w:color="auto"/>
            <w:right w:val="none" w:sz="0" w:space="0" w:color="auto"/>
          </w:divBdr>
        </w:div>
        <w:div w:id="2048750370">
          <w:marLeft w:val="0"/>
          <w:marRight w:val="0"/>
          <w:marTop w:val="0"/>
          <w:marBottom w:val="0"/>
          <w:divBdr>
            <w:top w:val="none" w:sz="0" w:space="0" w:color="auto"/>
            <w:left w:val="none" w:sz="0" w:space="0" w:color="auto"/>
            <w:bottom w:val="none" w:sz="0" w:space="0" w:color="auto"/>
            <w:right w:val="none" w:sz="0" w:space="0" w:color="auto"/>
          </w:divBdr>
        </w:div>
        <w:div w:id="362826399">
          <w:marLeft w:val="0"/>
          <w:marRight w:val="0"/>
          <w:marTop w:val="0"/>
          <w:marBottom w:val="0"/>
          <w:divBdr>
            <w:top w:val="none" w:sz="0" w:space="0" w:color="auto"/>
            <w:left w:val="none" w:sz="0" w:space="0" w:color="auto"/>
            <w:bottom w:val="none" w:sz="0" w:space="0" w:color="auto"/>
            <w:right w:val="none" w:sz="0" w:space="0" w:color="auto"/>
          </w:divBdr>
        </w:div>
      </w:divsChild>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51449357">
      <w:bodyDiv w:val="1"/>
      <w:marLeft w:val="0"/>
      <w:marRight w:val="0"/>
      <w:marTop w:val="0"/>
      <w:marBottom w:val="0"/>
      <w:divBdr>
        <w:top w:val="none" w:sz="0" w:space="0" w:color="auto"/>
        <w:left w:val="none" w:sz="0" w:space="0" w:color="auto"/>
        <w:bottom w:val="none" w:sz="0" w:space="0" w:color="auto"/>
        <w:right w:val="none" w:sz="0" w:space="0" w:color="auto"/>
      </w:divBdr>
      <w:divsChild>
        <w:div w:id="510878543">
          <w:marLeft w:val="0"/>
          <w:marRight w:val="0"/>
          <w:marTop w:val="0"/>
          <w:marBottom w:val="0"/>
          <w:divBdr>
            <w:top w:val="none" w:sz="0" w:space="0" w:color="auto"/>
            <w:left w:val="none" w:sz="0" w:space="0" w:color="auto"/>
            <w:bottom w:val="none" w:sz="0" w:space="0" w:color="auto"/>
            <w:right w:val="none" w:sz="0" w:space="0" w:color="auto"/>
          </w:divBdr>
        </w:div>
        <w:div w:id="24869062">
          <w:marLeft w:val="0"/>
          <w:marRight w:val="0"/>
          <w:marTop w:val="0"/>
          <w:marBottom w:val="0"/>
          <w:divBdr>
            <w:top w:val="none" w:sz="0" w:space="0" w:color="auto"/>
            <w:left w:val="none" w:sz="0" w:space="0" w:color="auto"/>
            <w:bottom w:val="none" w:sz="0" w:space="0" w:color="auto"/>
            <w:right w:val="none" w:sz="0" w:space="0" w:color="auto"/>
          </w:divBdr>
        </w:div>
        <w:div w:id="25109308">
          <w:marLeft w:val="0"/>
          <w:marRight w:val="0"/>
          <w:marTop w:val="0"/>
          <w:marBottom w:val="0"/>
          <w:divBdr>
            <w:top w:val="none" w:sz="0" w:space="0" w:color="auto"/>
            <w:left w:val="none" w:sz="0" w:space="0" w:color="auto"/>
            <w:bottom w:val="none" w:sz="0" w:space="0" w:color="auto"/>
            <w:right w:val="none" w:sz="0" w:space="0" w:color="auto"/>
          </w:divBdr>
        </w:div>
        <w:div w:id="896553385">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05883089">
      <w:bodyDiv w:val="1"/>
      <w:marLeft w:val="0"/>
      <w:marRight w:val="0"/>
      <w:marTop w:val="0"/>
      <w:marBottom w:val="0"/>
      <w:divBdr>
        <w:top w:val="none" w:sz="0" w:space="0" w:color="auto"/>
        <w:left w:val="none" w:sz="0" w:space="0" w:color="auto"/>
        <w:bottom w:val="none" w:sz="0" w:space="0" w:color="auto"/>
        <w:right w:val="none" w:sz="0" w:space="0" w:color="auto"/>
      </w:divBdr>
    </w:div>
    <w:div w:id="1407993560">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48545149">
      <w:bodyDiv w:val="1"/>
      <w:marLeft w:val="0"/>
      <w:marRight w:val="0"/>
      <w:marTop w:val="0"/>
      <w:marBottom w:val="0"/>
      <w:divBdr>
        <w:top w:val="none" w:sz="0" w:space="0" w:color="auto"/>
        <w:left w:val="none" w:sz="0" w:space="0" w:color="auto"/>
        <w:bottom w:val="none" w:sz="0" w:space="0" w:color="auto"/>
        <w:right w:val="none" w:sz="0" w:space="0" w:color="auto"/>
      </w:divBdr>
    </w:div>
    <w:div w:id="1464158805">
      <w:bodyDiv w:val="1"/>
      <w:marLeft w:val="0"/>
      <w:marRight w:val="0"/>
      <w:marTop w:val="0"/>
      <w:marBottom w:val="0"/>
      <w:divBdr>
        <w:top w:val="none" w:sz="0" w:space="0" w:color="auto"/>
        <w:left w:val="none" w:sz="0" w:space="0" w:color="auto"/>
        <w:bottom w:val="none" w:sz="0" w:space="0" w:color="auto"/>
        <w:right w:val="none" w:sz="0" w:space="0" w:color="auto"/>
      </w:divBdr>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750120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27207377">
      <w:bodyDiv w:val="1"/>
      <w:marLeft w:val="0"/>
      <w:marRight w:val="0"/>
      <w:marTop w:val="0"/>
      <w:marBottom w:val="0"/>
      <w:divBdr>
        <w:top w:val="none" w:sz="0" w:space="0" w:color="auto"/>
        <w:left w:val="none" w:sz="0" w:space="0" w:color="auto"/>
        <w:bottom w:val="none" w:sz="0" w:space="0" w:color="auto"/>
        <w:right w:val="none" w:sz="0" w:space="0" w:color="auto"/>
      </w:divBdr>
    </w:div>
    <w:div w:id="1538159881">
      <w:bodyDiv w:val="1"/>
      <w:marLeft w:val="0"/>
      <w:marRight w:val="0"/>
      <w:marTop w:val="0"/>
      <w:marBottom w:val="0"/>
      <w:divBdr>
        <w:top w:val="none" w:sz="0" w:space="0" w:color="auto"/>
        <w:left w:val="none" w:sz="0" w:space="0" w:color="auto"/>
        <w:bottom w:val="none" w:sz="0" w:space="0" w:color="auto"/>
        <w:right w:val="none" w:sz="0" w:space="0" w:color="auto"/>
      </w:divBdr>
      <w:divsChild>
        <w:div w:id="1145464347">
          <w:marLeft w:val="0"/>
          <w:marRight w:val="0"/>
          <w:marTop w:val="150"/>
          <w:marBottom w:val="270"/>
          <w:divBdr>
            <w:top w:val="none" w:sz="0" w:space="0" w:color="auto"/>
            <w:left w:val="none" w:sz="0" w:space="0" w:color="auto"/>
            <w:bottom w:val="none" w:sz="0" w:space="0" w:color="auto"/>
            <w:right w:val="none" w:sz="0" w:space="0" w:color="auto"/>
          </w:divBdr>
        </w:div>
        <w:div w:id="1236892565">
          <w:marLeft w:val="0"/>
          <w:marRight w:val="0"/>
          <w:marTop w:val="150"/>
          <w:marBottom w:val="270"/>
          <w:divBdr>
            <w:top w:val="none" w:sz="0" w:space="0" w:color="auto"/>
            <w:left w:val="none" w:sz="0" w:space="0" w:color="auto"/>
            <w:bottom w:val="none" w:sz="0" w:space="0" w:color="auto"/>
            <w:right w:val="none" w:sz="0" w:space="0" w:color="auto"/>
          </w:divBdr>
        </w:div>
        <w:div w:id="1087118468">
          <w:marLeft w:val="0"/>
          <w:marRight w:val="0"/>
          <w:marTop w:val="150"/>
          <w:marBottom w:val="270"/>
          <w:divBdr>
            <w:top w:val="none" w:sz="0" w:space="0" w:color="auto"/>
            <w:left w:val="none" w:sz="0" w:space="0" w:color="auto"/>
            <w:bottom w:val="none" w:sz="0" w:space="0" w:color="auto"/>
            <w:right w:val="none" w:sz="0" w:space="0" w:color="auto"/>
          </w:divBdr>
        </w:div>
        <w:div w:id="147094342">
          <w:marLeft w:val="0"/>
          <w:marRight w:val="0"/>
          <w:marTop w:val="150"/>
          <w:marBottom w:val="270"/>
          <w:divBdr>
            <w:top w:val="none" w:sz="0" w:space="0" w:color="auto"/>
            <w:left w:val="none" w:sz="0" w:space="0" w:color="auto"/>
            <w:bottom w:val="none" w:sz="0" w:space="0" w:color="auto"/>
            <w:right w:val="none" w:sz="0" w:space="0" w:color="auto"/>
          </w:divBdr>
        </w:div>
      </w:divsChild>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64289585">
      <w:bodyDiv w:val="1"/>
      <w:marLeft w:val="0"/>
      <w:marRight w:val="0"/>
      <w:marTop w:val="0"/>
      <w:marBottom w:val="0"/>
      <w:divBdr>
        <w:top w:val="none" w:sz="0" w:space="0" w:color="auto"/>
        <w:left w:val="none" w:sz="0" w:space="0" w:color="auto"/>
        <w:bottom w:val="none" w:sz="0" w:space="0" w:color="auto"/>
        <w:right w:val="none" w:sz="0" w:space="0" w:color="auto"/>
      </w:divBdr>
    </w:div>
    <w:div w:id="1576011336">
      <w:bodyDiv w:val="1"/>
      <w:marLeft w:val="0"/>
      <w:marRight w:val="0"/>
      <w:marTop w:val="0"/>
      <w:marBottom w:val="0"/>
      <w:divBdr>
        <w:top w:val="none" w:sz="0" w:space="0" w:color="auto"/>
        <w:left w:val="none" w:sz="0" w:space="0" w:color="auto"/>
        <w:bottom w:val="none" w:sz="0" w:space="0" w:color="auto"/>
        <w:right w:val="none" w:sz="0" w:space="0" w:color="auto"/>
      </w:divBdr>
    </w:div>
    <w:div w:id="1580169586">
      <w:bodyDiv w:val="1"/>
      <w:marLeft w:val="0"/>
      <w:marRight w:val="0"/>
      <w:marTop w:val="0"/>
      <w:marBottom w:val="0"/>
      <w:divBdr>
        <w:top w:val="none" w:sz="0" w:space="0" w:color="auto"/>
        <w:left w:val="none" w:sz="0" w:space="0" w:color="auto"/>
        <w:bottom w:val="none" w:sz="0" w:space="0" w:color="auto"/>
        <w:right w:val="none" w:sz="0" w:space="0" w:color="auto"/>
      </w:divBdr>
    </w:div>
    <w:div w:id="1581520647">
      <w:bodyDiv w:val="1"/>
      <w:marLeft w:val="0"/>
      <w:marRight w:val="0"/>
      <w:marTop w:val="0"/>
      <w:marBottom w:val="0"/>
      <w:divBdr>
        <w:top w:val="none" w:sz="0" w:space="0" w:color="auto"/>
        <w:left w:val="none" w:sz="0" w:space="0" w:color="auto"/>
        <w:bottom w:val="none" w:sz="0" w:space="0" w:color="auto"/>
        <w:right w:val="none" w:sz="0" w:space="0" w:color="auto"/>
      </w:divBdr>
      <w:divsChild>
        <w:div w:id="2055543268">
          <w:marLeft w:val="0"/>
          <w:marRight w:val="0"/>
          <w:marTop w:val="0"/>
          <w:marBottom w:val="0"/>
          <w:divBdr>
            <w:top w:val="none" w:sz="0" w:space="0" w:color="auto"/>
            <w:left w:val="none" w:sz="0" w:space="0" w:color="auto"/>
            <w:bottom w:val="none" w:sz="0" w:space="0" w:color="auto"/>
            <w:right w:val="none" w:sz="0" w:space="0" w:color="auto"/>
          </w:divBdr>
        </w:div>
        <w:div w:id="1647707723">
          <w:marLeft w:val="0"/>
          <w:marRight w:val="0"/>
          <w:marTop w:val="0"/>
          <w:marBottom w:val="0"/>
          <w:divBdr>
            <w:top w:val="none" w:sz="0" w:space="0" w:color="auto"/>
            <w:left w:val="none" w:sz="0" w:space="0" w:color="auto"/>
            <w:bottom w:val="none" w:sz="0" w:space="0" w:color="auto"/>
            <w:right w:val="none" w:sz="0" w:space="0" w:color="auto"/>
          </w:divBdr>
        </w:div>
        <w:div w:id="1820032998">
          <w:marLeft w:val="0"/>
          <w:marRight w:val="0"/>
          <w:marTop w:val="0"/>
          <w:marBottom w:val="0"/>
          <w:divBdr>
            <w:top w:val="none" w:sz="0" w:space="0" w:color="auto"/>
            <w:left w:val="none" w:sz="0" w:space="0" w:color="auto"/>
            <w:bottom w:val="none" w:sz="0" w:space="0" w:color="auto"/>
            <w:right w:val="none" w:sz="0" w:space="0" w:color="auto"/>
          </w:divBdr>
        </w:div>
        <w:div w:id="1445659236">
          <w:marLeft w:val="0"/>
          <w:marRight w:val="0"/>
          <w:marTop w:val="0"/>
          <w:marBottom w:val="0"/>
          <w:divBdr>
            <w:top w:val="none" w:sz="0" w:space="0" w:color="auto"/>
            <w:left w:val="none" w:sz="0" w:space="0" w:color="auto"/>
            <w:bottom w:val="none" w:sz="0" w:space="0" w:color="auto"/>
            <w:right w:val="none" w:sz="0" w:space="0" w:color="auto"/>
          </w:divBdr>
        </w:div>
        <w:div w:id="1178235987">
          <w:marLeft w:val="0"/>
          <w:marRight w:val="0"/>
          <w:marTop w:val="0"/>
          <w:marBottom w:val="0"/>
          <w:divBdr>
            <w:top w:val="none" w:sz="0" w:space="0" w:color="auto"/>
            <w:left w:val="none" w:sz="0" w:space="0" w:color="auto"/>
            <w:bottom w:val="none" w:sz="0" w:space="0" w:color="auto"/>
            <w:right w:val="none" w:sz="0" w:space="0" w:color="auto"/>
          </w:divBdr>
        </w:div>
        <w:div w:id="1008093150">
          <w:marLeft w:val="0"/>
          <w:marRight w:val="0"/>
          <w:marTop w:val="0"/>
          <w:marBottom w:val="0"/>
          <w:divBdr>
            <w:top w:val="none" w:sz="0" w:space="0" w:color="auto"/>
            <w:left w:val="none" w:sz="0" w:space="0" w:color="auto"/>
            <w:bottom w:val="none" w:sz="0" w:space="0" w:color="auto"/>
            <w:right w:val="none" w:sz="0" w:space="0" w:color="auto"/>
          </w:divBdr>
        </w:div>
        <w:div w:id="937524559">
          <w:marLeft w:val="0"/>
          <w:marRight w:val="0"/>
          <w:marTop w:val="0"/>
          <w:marBottom w:val="0"/>
          <w:divBdr>
            <w:top w:val="none" w:sz="0" w:space="0" w:color="auto"/>
            <w:left w:val="none" w:sz="0" w:space="0" w:color="auto"/>
            <w:bottom w:val="none" w:sz="0" w:space="0" w:color="auto"/>
            <w:right w:val="none" w:sz="0" w:space="0" w:color="auto"/>
          </w:divBdr>
        </w:div>
      </w:divsChild>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06226869">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4534836">
      <w:bodyDiv w:val="1"/>
      <w:marLeft w:val="0"/>
      <w:marRight w:val="0"/>
      <w:marTop w:val="0"/>
      <w:marBottom w:val="0"/>
      <w:divBdr>
        <w:top w:val="none" w:sz="0" w:space="0" w:color="auto"/>
        <w:left w:val="none" w:sz="0" w:space="0" w:color="auto"/>
        <w:bottom w:val="none" w:sz="0" w:space="0" w:color="auto"/>
        <w:right w:val="none" w:sz="0" w:space="0" w:color="auto"/>
      </w:divBdr>
      <w:divsChild>
        <w:div w:id="189951530">
          <w:marLeft w:val="0"/>
          <w:marRight w:val="0"/>
          <w:marTop w:val="0"/>
          <w:marBottom w:val="0"/>
          <w:divBdr>
            <w:top w:val="none" w:sz="0" w:space="0" w:color="auto"/>
            <w:left w:val="none" w:sz="0" w:space="0" w:color="auto"/>
            <w:bottom w:val="none" w:sz="0" w:space="0" w:color="auto"/>
            <w:right w:val="none" w:sz="0" w:space="0" w:color="auto"/>
          </w:divBdr>
          <w:divsChild>
            <w:div w:id="1437287712">
              <w:marLeft w:val="0"/>
              <w:marRight w:val="0"/>
              <w:marTop w:val="0"/>
              <w:marBottom w:val="0"/>
              <w:divBdr>
                <w:top w:val="none" w:sz="0" w:space="0" w:color="auto"/>
                <w:left w:val="none" w:sz="0" w:space="0" w:color="auto"/>
                <w:bottom w:val="none" w:sz="0" w:space="0" w:color="auto"/>
                <w:right w:val="none" w:sz="0" w:space="0" w:color="auto"/>
              </w:divBdr>
              <w:divsChild>
                <w:div w:id="505439191">
                  <w:marLeft w:val="0"/>
                  <w:marRight w:val="0"/>
                  <w:marTop w:val="0"/>
                  <w:marBottom w:val="0"/>
                  <w:divBdr>
                    <w:top w:val="none" w:sz="0" w:space="0" w:color="auto"/>
                    <w:left w:val="none" w:sz="0" w:space="0" w:color="auto"/>
                    <w:bottom w:val="none" w:sz="0" w:space="0" w:color="auto"/>
                    <w:right w:val="none" w:sz="0" w:space="0" w:color="auto"/>
                  </w:divBdr>
                  <w:divsChild>
                    <w:div w:id="1859731528">
                      <w:marLeft w:val="-15"/>
                      <w:marRight w:val="-15"/>
                      <w:marTop w:val="0"/>
                      <w:marBottom w:val="0"/>
                      <w:divBdr>
                        <w:top w:val="none" w:sz="0" w:space="0" w:color="auto"/>
                        <w:left w:val="none" w:sz="0" w:space="0" w:color="auto"/>
                        <w:bottom w:val="none" w:sz="0" w:space="0" w:color="auto"/>
                        <w:right w:val="none" w:sz="0" w:space="0" w:color="auto"/>
                      </w:divBdr>
                      <w:divsChild>
                        <w:div w:id="1265841822">
                          <w:marLeft w:val="0"/>
                          <w:marRight w:val="0"/>
                          <w:marTop w:val="0"/>
                          <w:marBottom w:val="0"/>
                          <w:divBdr>
                            <w:top w:val="none" w:sz="0" w:space="0" w:color="auto"/>
                            <w:left w:val="none" w:sz="0" w:space="0" w:color="auto"/>
                            <w:bottom w:val="none" w:sz="0" w:space="0" w:color="auto"/>
                            <w:right w:val="none" w:sz="0" w:space="0" w:color="auto"/>
                          </w:divBdr>
                          <w:divsChild>
                            <w:div w:id="179726172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3583732">
      <w:bodyDiv w:val="1"/>
      <w:marLeft w:val="0"/>
      <w:marRight w:val="0"/>
      <w:marTop w:val="0"/>
      <w:marBottom w:val="0"/>
      <w:divBdr>
        <w:top w:val="none" w:sz="0" w:space="0" w:color="auto"/>
        <w:left w:val="none" w:sz="0" w:space="0" w:color="auto"/>
        <w:bottom w:val="none" w:sz="0" w:space="0" w:color="auto"/>
        <w:right w:val="none" w:sz="0" w:space="0" w:color="auto"/>
      </w:divBdr>
      <w:divsChild>
        <w:div w:id="937061716">
          <w:marLeft w:val="0"/>
          <w:marRight w:val="0"/>
          <w:marTop w:val="0"/>
          <w:marBottom w:val="0"/>
          <w:divBdr>
            <w:top w:val="none" w:sz="0" w:space="0" w:color="auto"/>
            <w:left w:val="none" w:sz="0" w:space="0" w:color="auto"/>
            <w:bottom w:val="none" w:sz="0" w:space="0" w:color="auto"/>
            <w:right w:val="none" w:sz="0" w:space="0" w:color="auto"/>
          </w:divBdr>
        </w:div>
        <w:div w:id="1531380412">
          <w:marLeft w:val="0"/>
          <w:marRight w:val="0"/>
          <w:marTop w:val="0"/>
          <w:marBottom w:val="0"/>
          <w:divBdr>
            <w:top w:val="none" w:sz="0" w:space="0" w:color="auto"/>
            <w:left w:val="none" w:sz="0" w:space="0" w:color="auto"/>
            <w:bottom w:val="none" w:sz="0" w:space="0" w:color="auto"/>
            <w:right w:val="none" w:sz="0" w:space="0" w:color="auto"/>
          </w:divBdr>
        </w:div>
        <w:div w:id="2122145832">
          <w:marLeft w:val="0"/>
          <w:marRight w:val="0"/>
          <w:marTop w:val="0"/>
          <w:marBottom w:val="0"/>
          <w:divBdr>
            <w:top w:val="none" w:sz="0" w:space="0" w:color="auto"/>
            <w:left w:val="none" w:sz="0" w:space="0" w:color="auto"/>
            <w:bottom w:val="none" w:sz="0" w:space="0" w:color="auto"/>
            <w:right w:val="none" w:sz="0" w:space="0" w:color="auto"/>
          </w:divBdr>
        </w:div>
        <w:div w:id="291792445">
          <w:marLeft w:val="0"/>
          <w:marRight w:val="0"/>
          <w:marTop w:val="0"/>
          <w:marBottom w:val="0"/>
          <w:divBdr>
            <w:top w:val="none" w:sz="0" w:space="0" w:color="auto"/>
            <w:left w:val="none" w:sz="0" w:space="0" w:color="auto"/>
            <w:bottom w:val="none" w:sz="0" w:space="0" w:color="auto"/>
            <w:right w:val="none" w:sz="0" w:space="0" w:color="auto"/>
          </w:divBdr>
        </w:div>
        <w:div w:id="1390612989">
          <w:marLeft w:val="0"/>
          <w:marRight w:val="0"/>
          <w:marTop w:val="0"/>
          <w:marBottom w:val="0"/>
          <w:divBdr>
            <w:top w:val="none" w:sz="0" w:space="0" w:color="auto"/>
            <w:left w:val="none" w:sz="0" w:space="0" w:color="auto"/>
            <w:bottom w:val="none" w:sz="0" w:space="0" w:color="auto"/>
            <w:right w:val="none" w:sz="0" w:space="0" w:color="auto"/>
          </w:divBdr>
        </w:div>
        <w:div w:id="626351314">
          <w:marLeft w:val="0"/>
          <w:marRight w:val="0"/>
          <w:marTop w:val="0"/>
          <w:marBottom w:val="0"/>
          <w:divBdr>
            <w:top w:val="none" w:sz="0" w:space="0" w:color="auto"/>
            <w:left w:val="none" w:sz="0" w:space="0" w:color="auto"/>
            <w:bottom w:val="none" w:sz="0" w:space="0" w:color="auto"/>
            <w:right w:val="none" w:sz="0" w:space="0" w:color="auto"/>
          </w:divBdr>
        </w:div>
        <w:div w:id="221136403">
          <w:marLeft w:val="0"/>
          <w:marRight w:val="0"/>
          <w:marTop w:val="0"/>
          <w:marBottom w:val="0"/>
          <w:divBdr>
            <w:top w:val="none" w:sz="0" w:space="0" w:color="auto"/>
            <w:left w:val="none" w:sz="0" w:space="0" w:color="auto"/>
            <w:bottom w:val="none" w:sz="0" w:space="0" w:color="auto"/>
            <w:right w:val="none" w:sz="0" w:space="0" w:color="auto"/>
          </w:divBdr>
        </w:div>
      </w:divsChild>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44722242">
      <w:bodyDiv w:val="1"/>
      <w:marLeft w:val="0"/>
      <w:marRight w:val="0"/>
      <w:marTop w:val="0"/>
      <w:marBottom w:val="0"/>
      <w:divBdr>
        <w:top w:val="none" w:sz="0" w:space="0" w:color="auto"/>
        <w:left w:val="none" w:sz="0" w:space="0" w:color="auto"/>
        <w:bottom w:val="none" w:sz="0" w:space="0" w:color="auto"/>
        <w:right w:val="none" w:sz="0" w:space="0" w:color="auto"/>
      </w:divBdr>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54400727">
      <w:bodyDiv w:val="1"/>
      <w:marLeft w:val="0"/>
      <w:marRight w:val="0"/>
      <w:marTop w:val="0"/>
      <w:marBottom w:val="0"/>
      <w:divBdr>
        <w:top w:val="none" w:sz="0" w:space="0" w:color="auto"/>
        <w:left w:val="none" w:sz="0" w:space="0" w:color="auto"/>
        <w:bottom w:val="none" w:sz="0" w:space="0" w:color="auto"/>
        <w:right w:val="none" w:sz="0" w:space="0" w:color="auto"/>
      </w:divBdr>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6318622">
      <w:bodyDiv w:val="1"/>
      <w:marLeft w:val="0"/>
      <w:marRight w:val="0"/>
      <w:marTop w:val="0"/>
      <w:marBottom w:val="0"/>
      <w:divBdr>
        <w:top w:val="none" w:sz="0" w:space="0" w:color="auto"/>
        <w:left w:val="none" w:sz="0" w:space="0" w:color="auto"/>
        <w:bottom w:val="none" w:sz="0" w:space="0" w:color="auto"/>
        <w:right w:val="none" w:sz="0" w:space="0" w:color="auto"/>
      </w:divBdr>
      <w:divsChild>
        <w:div w:id="1549760887">
          <w:marLeft w:val="0"/>
          <w:marRight w:val="0"/>
          <w:marTop w:val="0"/>
          <w:marBottom w:val="0"/>
          <w:divBdr>
            <w:top w:val="none" w:sz="0" w:space="0" w:color="auto"/>
            <w:left w:val="none" w:sz="0" w:space="0" w:color="auto"/>
            <w:bottom w:val="none" w:sz="0" w:space="0" w:color="auto"/>
            <w:right w:val="none" w:sz="0" w:space="0" w:color="auto"/>
          </w:divBdr>
          <w:divsChild>
            <w:div w:id="871113102">
              <w:marLeft w:val="0"/>
              <w:marRight w:val="0"/>
              <w:marTop w:val="0"/>
              <w:marBottom w:val="0"/>
              <w:divBdr>
                <w:top w:val="none" w:sz="0" w:space="0" w:color="auto"/>
                <w:left w:val="none" w:sz="0" w:space="0" w:color="auto"/>
                <w:bottom w:val="none" w:sz="0" w:space="0" w:color="auto"/>
                <w:right w:val="none" w:sz="0" w:space="0" w:color="auto"/>
              </w:divBdr>
              <w:divsChild>
                <w:div w:id="398791069">
                  <w:marLeft w:val="0"/>
                  <w:marRight w:val="0"/>
                  <w:marTop w:val="0"/>
                  <w:marBottom w:val="0"/>
                  <w:divBdr>
                    <w:top w:val="none" w:sz="0" w:space="0" w:color="auto"/>
                    <w:left w:val="none" w:sz="0" w:space="0" w:color="auto"/>
                    <w:bottom w:val="none" w:sz="0" w:space="0" w:color="auto"/>
                    <w:right w:val="none" w:sz="0" w:space="0" w:color="auto"/>
                  </w:divBdr>
                  <w:divsChild>
                    <w:div w:id="1171608182">
                      <w:marLeft w:val="0"/>
                      <w:marRight w:val="0"/>
                      <w:marTop w:val="0"/>
                      <w:marBottom w:val="0"/>
                      <w:divBdr>
                        <w:top w:val="none" w:sz="0" w:space="0" w:color="auto"/>
                        <w:left w:val="none" w:sz="0" w:space="0" w:color="auto"/>
                        <w:bottom w:val="none" w:sz="0" w:space="0" w:color="auto"/>
                        <w:right w:val="none" w:sz="0" w:space="0" w:color="auto"/>
                      </w:divBdr>
                      <w:divsChild>
                        <w:div w:id="2110851348">
                          <w:marLeft w:val="0"/>
                          <w:marRight w:val="0"/>
                          <w:marTop w:val="0"/>
                          <w:marBottom w:val="0"/>
                          <w:divBdr>
                            <w:top w:val="none" w:sz="0" w:space="0" w:color="auto"/>
                            <w:left w:val="none" w:sz="0" w:space="0" w:color="auto"/>
                            <w:bottom w:val="none" w:sz="0" w:space="0" w:color="auto"/>
                            <w:right w:val="none" w:sz="0" w:space="0" w:color="auto"/>
                          </w:divBdr>
                          <w:divsChild>
                            <w:div w:id="394863281">
                              <w:marLeft w:val="0"/>
                              <w:marRight w:val="0"/>
                              <w:marTop w:val="0"/>
                              <w:marBottom w:val="0"/>
                              <w:divBdr>
                                <w:top w:val="none" w:sz="0" w:space="0" w:color="auto"/>
                                <w:left w:val="none" w:sz="0" w:space="0" w:color="auto"/>
                                <w:bottom w:val="none" w:sz="0" w:space="0" w:color="auto"/>
                                <w:right w:val="none" w:sz="0" w:space="0" w:color="auto"/>
                              </w:divBdr>
                              <w:divsChild>
                                <w:div w:id="2043968314">
                                  <w:marLeft w:val="0"/>
                                  <w:marRight w:val="0"/>
                                  <w:marTop w:val="210"/>
                                  <w:marBottom w:val="0"/>
                                  <w:divBdr>
                                    <w:top w:val="none" w:sz="0" w:space="0" w:color="auto"/>
                                    <w:left w:val="none" w:sz="0" w:space="0" w:color="auto"/>
                                    <w:bottom w:val="none" w:sz="0" w:space="0" w:color="auto"/>
                                    <w:right w:val="none" w:sz="0" w:space="0" w:color="auto"/>
                                  </w:divBdr>
                                  <w:divsChild>
                                    <w:div w:id="1976061554">
                                      <w:marLeft w:val="0"/>
                                      <w:marRight w:val="0"/>
                                      <w:marTop w:val="0"/>
                                      <w:marBottom w:val="0"/>
                                      <w:divBdr>
                                        <w:top w:val="none" w:sz="0" w:space="0" w:color="auto"/>
                                        <w:left w:val="none" w:sz="0" w:space="0" w:color="auto"/>
                                        <w:bottom w:val="none" w:sz="0" w:space="0" w:color="auto"/>
                                        <w:right w:val="none" w:sz="0" w:space="0" w:color="auto"/>
                                      </w:divBdr>
                                      <w:divsChild>
                                        <w:div w:id="680936616">
                                          <w:marLeft w:val="-240"/>
                                          <w:marRight w:val="-240"/>
                                          <w:marTop w:val="0"/>
                                          <w:marBottom w:val="0"/>
                                          <w:divBdr>
                                            <w:top w:val="none" w:sz="0" w:space="0" w:color="auto"/>
                                            <w:left w:val="none" w:sz="0" w:space="0" w:color="auto"/>
                                            <w:bottom w:val="none" w:sz="0" w:space="0" w:color="auto"/>
                                            <w:right w:val="none" w:sz="0" w:space="0" w:color="auto"/>
                                          </w:divBdr>
                                          <w:divsChild>
                                            <w:div w:id="472649153">
                                              <w:marLeft w:val="0"/>
                                              <w:marRight w:val="0"/>
                                              <w:marTop w:val="0"/>
                                              <w:marBottom w:val="0"/>
                                              <w:divBdr>
                                                <w:top w:val="none" w:sz="0" w:space="0" w:color="auto"/>
                                                <w:left w:val="none" w:sz="0" w:space="0" w:color="auto"/>
                                                <w:bottom w:val="none" w:sz="0" w:space="0" w:color="auto"/>
                                                <w:right w:val="none" w:sz="0" w:space="0" w:color="auto"/>
                                              </w:divBdr>
                                              <w:divsChild>
                                                <w:div w:id="301430606">
                                                  <w:marLeft w:val="0"/>
                                                  <w:marRight w:val="0"/>
                                                  <w:marTop w:val="150"/>
                                                  <w:marBottom w:val="270"/>
                                                  <w:divBdr>
                                                    <w:top w:val="none" w:sz="0" w:space="0" w:color="auto"/>
                                                    <w:left w:val="none" w:sz="0" w:space="0" w:color="auto"/>
                                                    <w:bottom w:val="none" w:sz="0" w:space="0" w:color="auto"/>
                                                    <w:right w:val="none" w:sz="0" w:space="0" w:color="auto"/>
                                                  </w:divBdr>
                                                  <w:divsChild>
                                                    <w:div w:id="2089309026">
                                                      <w:marLeft w:val="0"/>
                                                      <w:marRight w:val="0"/>
                                                      <w:marTop w:val="0"/>
                                                      <w:marBottom w:val="0"/>
                                                      <w:divBdr>
                                                        <w:top w:val="none" w:sz="0" w:space="0" w:color="auto"/>
                                                        <w:left w:val="none" w:sz="0" w:space="0" w:color="auto"/>
                                                        <w:bottom w:val="none" w:sz="0" w:space="0" w:color="auto"/>
                                                        <w:right w:val="none" w:sz="0" w:space="0" w:color="auto"/>
                                                      </w:divBdr>
                                                      <w:divsChild>
                                                        <w:div w:id="1086809155">
                                                          <w:marLeft w:val="0"/>
                                                          <w:marRight w:val="0"/>
                                                          <w:marTop w:val="0"/>
                                                          <w:marBottom w:val="0"/>
                                                          <w:divBdr>
                                                            <w:top w:val="none" w:sz="0" w:space="0" w:color="auto"/>
                                                            <w:left w:val="none" w:sz="0" w:space="0" w:color="auto"/>
                                                            <w:bottom w:val="none" w:sz="0" w:space="0" w:color="auto"/>
                                                            <w:right w:val="none" w:sz="0" w:space="0" w:color="auto"/>
                                                          </w:divBdr>
                                                          <w:divsChild>
                                                            <w:div w:id="9335214">
                                                              <w:marLeft w:val="0"/>
                                                              <w:marRight w:val="0"/>
                                                              <w:marTop w:val="0"/>
                                                              <w:marBottom w:val="0"/>
                                                              <w:divBdr>
                                                                <w:top w:val="none" w:sz="0" w:space="0" w:color="auto"/>
                                                                <w:left w:val="none" w:sz="0" w:space="0" w:color="auto"/>
                                                                <w:bottom w:val="none" w:sz="0" w:space="0" w:color="auto"/>
                                                                <w:right w:val="none" w:sz="0" w:space="0" w:color="auto"/>
                                                              </w:divBdr>
                                                              <w:divsChild>
                                                                <w:div w:id="1417702421">
                                                                  <w:marLeft w:val="0"/>
                                                                  <w:marRight w:val="0"/>
                                                                  <w:marTop w:val="0"/>
                                                                  <w:marBottom w:val="0"/>
                                                                  <w:divBdr>
                                                                    <w:top w:val="none" w:sz="0" w:space="0" w:color="auto"/>
                                                                    <w:left w:val="none" w:sz="0" w:space="0" w:color="auto"/>
                                                                    <w:bottom w:val="none" w:sz="0" w:space="0" w:color="auto"/>
                                                                    <w:right w:val="none" w:sz="0" w:space="0" w:color="auto"/>
                                                                  </w:divBdr>
                                                                  <w:divsChild>
                                                                    <w:div w:id="1172838928">
                                                                      <w:marLeft w:val="0"/>
                                                                      <w:marRight w:val="0"/>
                                                                      <w:marTop w:val="0"/>
                                                                      <w:marBottom w:val="0"/>
                                                                      <w:divBdr>
                                                                        <w:top w:val="none" w:sz="0" w:space="0" w:color="auto"/>
                                                                        <w:left w:val="none" w:sz="0" w:space="0" w:color="auto"/>
                                                                        <w:bottom w:val="none" w:sz="0" w:space="0" w:color="auto"/>
                                                                        <w:right w:val="none" w:sz="0" w:space="0" w:color="auto"/>
                                                                      </w:divBdr>
                                                                    </w:div>
                                                                  </w:divsChild>
                                                                </w:div>
                                                                <w:div w:id="769512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62536919">
                                                      <w:marLeft w:val="0"/>
                                                      <w:marRight w:val="0"/>
                                                      <w:marTop w:val="0"/>
                                                      <w:marBottom w:val="0"/>
                                                      <w:divBdr>
                                                        <w:top w:val="none" w:sz="0" w:space="0" w:color="auto"/>
                                                        <w:left w:val="none" w:sz="0" w:space="0" w:color="auto"/>
                                                        <w:bottom w:val="none" w:sz="0" w:space="0" w:color="auto"/>
                                                        <w:right w:val="none" w:sz="0" w:space="0" w:color="auto"/>
                                                      </w:divBdr>
                                                      <w:divsChild>
                                                        <w:div w:id="1901749898">
                                                          <w:marLeft w:val="0"/>
                                                          <w:marRight w:val="0"/>
                                                          <w:marTop w:val="0"/>
                                                          <w:marBottom w:val="0"/>
                                                          <w:divBdr>
                                                            <w:top w:val="none" w:sz="0" w:space="0" w:color="auto"/>
                                                            <w:left w:val="none" w:sz="0" w:space="0" w:color="auto"/>
                                                            <w:bottom w:val="none" w:sz="0" w:space="0" w:color="auto"/>
                                                            <w:right w:val="none" w:sz="0" w:space="0" w:color="auto"/>
                                                          </w:divBdr>
                                                          <w:divsChild>
                                                            <w:div w:id="1054156065">
                                                              <w:marLeft w:val="0"/>
                                                              <w:marRight w:val="0"/>
                                                              <w:marTop w:val="0"/>
                                                              <w:marBottom w:val="0"/>
                                                              <w:divBdr>
                                                                <w:top w:val="none" w:sz="0" w:space="0" w:color="auto"/>
                                                                <w:left w:val="none" w:sz="0" w:space="0" w:color="auto"/>
                                                                <w:bottom w:val="none" w:sz="0" w:space="0" w:color="auto"/>
                                                                <w:right w:val="none" w:sz="0" w:space="0" w:color="auto"/>
                                                              </w:divBdr>
                                                              <w:divsChild>
                                                                <w:div w:id="1415325235">
                                                                  <w:marLeft w:val="0"/>
                                                                  <w:marRight w:val="0"/>
                                                                  <w:marTop w:val="0"/>
                                                                  <w:marBottom w:val="0"/>
                                                                  <w:divBdr>
                                                                    <w:top w:val="none" w:sz="0" w:space="0" w:color="auto"/>
                                                                    <w:left w:val="none" w:sz="0" w:space="0" w:color="auto"/>
                                                                    <w:bottom w:val="none" w:sz="0" w:space="0" w:color="auto"/>
                                                                    <w:right w:val="none" w:sz="0" w:space="0" w:color="auto"/>
                                                                  </w:divBdr>
                                                                  <w:divsChild>
                                                                    <w:div w:id="623585055">
                                                                      <w:marLeft w:val="0"/>
                                                                      <w:marRight w:val="0"/>
                                                                      <w:marTop w:val="0"/>
                                                                      <w:marBottom w:val="0"/>
                                                                      <w:divBdr>
                                                                        <w:top w:val="none" w:sz="0" w:space="0" w:color="auto"/>
                                                                        <w:left w:val="none" w:sz="0" w:space="0" w:color="auto"/>
                                                                        <w:bottom w:val="none" w:sz="0" w:space="0" w:color="auto"/>
                                                                        <w:right w:val="none" w:sz="0" w:space="0" w:color="auto"/>
                                                                      </w:divBdr>
                                                                    </w:div>
                                                                  </w:divsChild>
                                                                </w:div>
                                                                <w:div w:id="11335204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49556757">
                                                      <w:marLeft w:val="0"/>
                                                      <w:marRight w:val="0"/>
                                                      <w:marTop w:val="0"/>
                                                      <w:marBottom w:val="0"/>
                                                      <w:divBdr>
                                                        <w:top w:val="none" w:sz="0" w:space="0" w:color="auto"/>
                                                        <w:left w:val="none" w:sz="0" w:space="0" w:color="auto"/>
                                                        <w:bottom w:val="none" w:sz="0" w:space="0" w:color="auto"/>
                                                        <w:right w:val="none" w:sz="0" w:space="0" w:color="auto"/>
                                                      </w:divBdr>
                                                      <w:divsChild>
                                                        <w:div w:id="220947868">
                                                          <w:marLeft w:val="0"/>
                                                          <w:marRight w:val="0"/>
                                                          <w:marTop w:val="0"/>
                                                          <w:marBottom w:val="0"/>
                                                          <w:divBdr>
                                                            <w:top w:val="none" w:sz="0" w:space="0" w:color="auto"/>
                                                            <w:left w:val="none" w:sz="0" w:space="0" w:color="auto"/>
                                                            <w:bottom w:val="none" w:sz="0" w:space="0" w:color="auto"/>
                                                            <w:right w:val="none" w:sz="0" w:space="0" w:color="auto"/>
                                                          </w:divBdr>
                                                          <w:divsChild>
                                                            <w:div w:id="1344547036">
                                                              <w:marLeft w:val="0"/>
                                                              <w:marRight w:val="0"/>
                                                              <w:marTop w:val="0"/>
                                                              <w:marBottom w:val="0"/>
                                                              <w:divBdr>
                                                                <w:top w:val="none" w:sz="0" w:space="0" w:color="auto"/>
                                                                <w:left w:val="none" w:sz="0" w:space="0" w:color="auto"/>
                                                                <w:bottom w:val="none" w:sz="0" w:space="0" w:color="auto"/>
                                                                <w:right w:val="none" w:sz="0" w:space="0" w:color="auto"/>
                                                              </w:divBdr>
                                                              <w:divsChild>
                                                                <w:div w:id="503054472">
                                                                  <w:marLeft w:val="0"/>
                                                                  <w:marRight w:val="0"/>
                                                                  <w:marTop w:val="0"/>
                                                                  <w:marBottom w:val="0"/>
                                                                  <w:divBdr>
                                                                    <w:top w:val="none" w:sz="0" w:space="0" w:color="auto"/>
                                                                    <w:left w:val="none" w:sz="0" w:space="0" w:color="auto"/>
                                                                    <w:bottom w:val="none" w:sz="0" w:space="0" w:color="auto"/>
                                                                    <w:right w:val="none" w:sz="0" w:space="0" w:color="auto"/>
                                                                  </w:divBdr>
                                                                  <w:divsChild>
                                                                    <w:div w:id="1458714689">
                                                                      <w:marLeft w:val="0"/>
                                                                      <w:marRight w:val="0"/>
                                                                      <w:marTop w:val="0"/>
                                                                      <w:marBottom w:val="0"/>
                                                                      <w:divBdr>
                                                                        <w:top w:val="none" w:sz="0" w:space="0" w:color="auto"/>
                                                                        <w:left w:val="none" w:sz="0" w:space="0" w:color="auto"/>
                                                                        <w:bottom w:val="none" w:sz="0" w:space="0" w:color="auto"/>
                                                                        <w:right w:val="none" w:sz="0" w:space="0" w:color="auto"/>
                                                                      </w:divBdr>
                                                                    </w:div>
                                                                  </w:divsChild>
                                                                </w:div>
                                                                <w:div w:id="10099165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3770859">
                                                      <w:marLeft w:val="0"/>
                                                      <w:marRight w:val="0"/>
                                                      <w:marTop w:val="0"/>
                                                      <w:marBottom w:val="0"/>
                                                      <w:divBdr>
                                                        <w:top w:val="none" w:sz="0" w:space="0" w:color="auto"/>
                                                        <w:left w:val="none" w:sz="0" w:space="0" w:color="auto"/>
                                                        <w:bottom w:val="none" w:sz="0" w:space="0" w:color="auto"/>
                                                        <w:right w:val="none" w:sz="0" w:space="0" w:color="auto"/>
                                                      </w:divBdr>
                                                      <w:divsChild>
                                                        <w:div w:id="984894702">
                                                          <w:marLeft w:val="0"/>
                                                          <w:marRight w:val="0"/>
                                                          <w:marTop w:val="0"/>
                                                          <w:marBottom w:val="0"/>
                                                          <w:divBdr>
                                                            <w:top w:val="none" w:sz="0" w:space="0" w:color="auto"/>
                                                            <w:left w:val="none" w:sz="0" w:space="0" w:color="auto"/>
                                                            <w:bottom w:val="none" w:sz="0" w:space="0" w:color="auto"/>
                                                            <w:right w:val="none" w:sz="0" w:space="0" w:color="auto"/>
                                                          </w:divBdr>
                                                          <w:divsChild>
                                                            <w:div w:id="547453131">
                                                              <w:marLeft w:val="0"/>
                                                              <w:marRight w:val="0"/>
                                                              <w:marTop w:val="0"/>
                                                              <w:marBottom w:val="0"/>
                                                              <w:divBdr>
                                                                <w:top w:val="none" w:sz="0" w:space="0" w:color="auto"/>
                                                                <w:left w:val="none" w:sz="0" w:space="0" w:color="auto"/>
                                                                <w:bottom w:val="none" w:sz="0" w:space="0" w:color="auto"/>
                                                                <w:right w:val="none" w:sz="0" w:space="0" w:color="auto"/>
                                                              </w:divBdr>
                                                              <w:divsChild>
                                                                <w:div w:id="1335263104">
                                                                  <w:marLeft w:val="0"/>
                                                                  <w:marRight w:val="0"/>
                                                                  <w:marTop w:val="0"/>
                                                                  <w:marBottom w:val="0"/>
                                                                  <w:divBdr>
                                                                    <w:top w:val="none" w:sz="0" w:space="0" w:color="auto"/>
                                                                    <w:left w:val="none" w:sz="0" w:space="0" w:color="auto"/>
                                                                    <w:bottom w:val="none" w:sz="0" w:space="0" w:color="auto"/>
                                                                    <w:right w:val="none" w:sz="0" w:space="0" w:color="auto"/>
                                                                  </w:divBdr>
                                                                  <w:divsChild>
                                                                    <w:div w:id="243690709">
                                                                      <w:marLeft w:val="0"/>
                                                                      <w:marRight w:val="0"/>
                                                                      <w:marTop w:val="0"/>
                                                                      <w:marBottom w:val="0"/>
                                                                      <w:divBdr>
                                                                        <w:top w:val="none" w:sz="0" w:space="0" w:color="auto"/>
                                                                        <w:left w:val="none" w:sz="0" w:space="0" w:color="auto"/>
                                                                        <w:bottom w:val="none" w:sz="0" w:space="0" w:color="auto"/>
                                                                        <w:right w:val="none" w:sz="0" w:space="0" w:color="auto"/>
                                                                      </w:divBdr>
                                                                    </w:div>
                                                                  </w:divsChild>
                                                                </w:div>
                                                                <w:div w:id="4529871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64431614">
                                                      <w:marLeft w:val="0"/>
                                                      <w:marRight w:val="0"/>
                                                      <w:marTop w:val="0"/>
                                                      <w:marBottom w:val="0"/>
                                                      <w:divBdr>
                                                        <w:top w:val="none" w:sz="0" w:space="0" w:color="auto"/>
                                                        <w:left w:val="none" w:sz="0" w:space="0" w:color="auto"/>
                                                        <w:bottom w:val="none" w:sz="0" w:space="0" w:color="auto"/>
                                                        <w:right w:val="none" w:sz="0" w:space="0" w:color="auto"/>
                                                      </w:divBdr>
                                                      <w:divsChild>
                                                        <w:div w:id="647973337">
                                                          <w:marLeft w:val="0"/>
                                                          <w:marRight w:val="0"/>
                                                          <w:marTop w:val="0"/>
                                                          <w:marBottom w:val="0"/>
                                                          <w:divBdr>
                                                            <w:top w:val="none" w:sz="0" w:space="0" w:color="auto"/>
                                                            <w:left w:val="none" w:sz="0" w:space="0" w:color="auto"/>
                                                            <w:bottom w:val="none" w:sz="0" w:space="0" w:color="auto"/>
                                                            <w:right w:val="none" w:sz="0" w:space="0" w:color="auto"/>
                                                          </w:divBdr>
                                                          <w:divsChild>
                                                            <w:div w:id="1435395934">
                                                              <w:marLeft w:val="0"/>
                                                              <w:marRight w:val="0"/>
                                                              <w:marTop w:val="0"/>
                                                              <w:marBottom w:val="0"/>
                                                              <w:divBdr>
                                                                <w:top w:val="none" w:sz="0" w:space="0" w:color="auto"/>
                                                                <w:left w:val="none" w:sz="0" w:space="0" w:color="auto"/>
                                                                <w:bottom w:val="none" w:sz="0" w:space="0" w:color="auto"/>
                                                                <w:right w:val="none" w:sz="0" w:space="0" w:color="auto"/>
                                                              </w:divBdr>
                                                              <w:divsChild>
                                                                <w:div w:id="1938637479">
                                                                  <w:marLeft w:val="0"/>
                                                                  <w:marRight w:val="0"/>
                                                                  <w:marTop w:val="0"/>
                                                                  <w:marBottom w:val="0"/>
                                                                  <w:divBdr>
                                                                    <w:top w:val="none" w:sz="0" w:space="0" w:color="auto"/>
                                                                    <w:left w:val="none" w:sz="0" w:space="0" w:color="auto"/>
                                                                    <w:bottom w:val="none" w:sz="0" w:space="0" w:color="auto"/>
                                                                    <w:right w:val="none" w:sz="0" w:space="0" w:color="auto"/>
                                                                  </w:divBdr>
                                                                  <w:divsChild>
                                                                    <w:div w:id="357895285">
                                                                      <w:marLeft w:val="0"/>
                                                                      <w:marRight w:val="0"/>
                                                                      <w:marTop w:val="0"/>
                                                                      <w:marBottom w:val="0"/>
                                                                      <w:divBdr>
                                                                        <w:top w:val="none" w:sz="0" w:space="0" w:color="auto"/>
                                                                        <w:left w:val="none" w:sz="0" w:space="0" w:color="auto"/>
                                                                        <w:bottom w:val="none" w:sz="0" w:space="0" w:color="auto"/>
                                                                        <w:right w:val="none" w:sz="0" w:space="0" w:color="auto"/>
                                                                      </w:divBdr>
                                                                      <w:divsChild>
                                                                        <w:div w:id="16216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387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16870326">
                                                      <w:marLeft w:val="0"/>
                                                      <w:marRight w:val="0"/>
                                                      <w:marTop w:val="0"/>
                                                      <w:marBottom w:val="0"/>
                                                      <w:divBdr>
                                                        <w:top w:val="none" w:sz="0" w:space="0" w:color="auto"/>
                                                        <w:left w:val="none" w:sz="0" w:space="0" w:color="auto"/>
                                                        <w:bottom w:val="none" w:sz="0" w:space="0" w:color="auto"/>
                                                        <w:right w:val="none" w:sz="0" w:space="0" w:color="auto"/>
                                                      </w:divBdr>
                                                      <w:divsChild>
                                                        <w:div w:id="1625041078">
                                                          <w:marLeft w:val="0"/>
                                                          <w:marRight w:val="0"/>
                                                          <w:marTop w:val="0"/>
                                                          <w:marBottom w:val="0"/>
                                                          <w:divBdr>
                                                            <w:top w:val="none" w:sz="0" w:space="0" w:color="auto"/>
                                                            <w:left w:val="none" w:sz="0" w:space="0" w:color="auto"/>
                                                            <w:bottom w:val="none" w:sz="0" w:space="0" w:color="auto"/>
                                                            <w:right w:val="none" w:sz="0" w:space="0" w:color="auto"/>
                                                          </w:divBdr>
                                                          <w:divsChild>
                                                            <w:div w:id="32775152">
                                                              <w:marLeft w:val="0"/>
                                                              <w:marRight w:val="0"/>
                                                              <w:marTop w:val="0"/>
                                                              <w:marBottom w:val="0"/>
                                                              <w:divBdr>
                                                                <w:top w:val="none" w:sz="0" w:space="0" w:color="auto"/>
                                                                <w:left w:val="none" w:sz="0" w:space="0" w:color="auto"/>
                                                                <w:bottom w:val="none" w:sz="0" w:space="0" w:color="auto"/>
                                                                <w:right w:val="none" w:sz="0" w:space="0" w:color="auto"/>
                                                              </w:divBdr>
                                                              <w:divsChild>
                                                                <w:div w:id="598409695">
                                                                  <w:marLeft w:val="0"/>
                                                                  <w:marRight w:val="0"/>
                                                                  <w:marTop w:val="0"/>
                                                                  <w:marBottom w:val="0"/>
                                                                  <w:divBdr>
                                                                    <w:top w:val="none" w:sz="0" w:space="0" w:color="auto"/>
                                                                    <w:left w:val="none" w:sz="0" w:space="0" w:color="auto"/>
                                                                    <w:bottom w:val="none" w:sz="0" w:space="0" w:color="auto"/>
                                                                    <w:right w:val="none" w:sz="0" w:space="0" w:color="auto"/>
                                                                  </w:divBdr>
                                                                  <w:divsChild>
                                                                    <w:div w:id="973213544">
                                                                      <w:marLeft w:val="0"/>
                                                                      <w:marRight w:val="0"/>
                                                                      <w:marTop w:val="0"/>
                                                                      <w:marBottom w:val="0"/>
                                                                      <w:divBdr>
                                                                        <w:top w:val="none" w:sz="0" w:space="0" w:color="auto"/>
                                                                        <w:left w:val="none" w:sz="0" w:space="0" w:color="auto"/>
                                                                        <w:bottom w:val="none" w:sz="0" w:space="0" w:color="auto"/>
                                                                        <w:right w:val="none" w:sz="0" w:space="0" w:color="auto"/>
                                                                      </w:divBdr>
                                                                    </w:div>
                                                                  </w:divsChild>
                                                                </w:div>
                                                                <w:div w:id="19608680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87652486">
      <w:bodyDiv w:val="1"/>
      <w:marLeft w:val="0"/>
      <w:marRight w:val="0"/>
      <w:marTop w:val="0"/>
      <w:marBottom w:val="0"/>
      <w:divBdr>
        <w:top w:val="none" w:sz="0" w:space="0" w:color="auto"/>
        <w:left w:val="none" w:sz="0" w:space="0" w:color="auto"/>
        <w:bottom w:val="none" w:sz="0" w:space="0" w:color="auto"/>
        <w:right w:val="none" w:sz="0" w:space="0" w:color="auto"/>
      </w:divBdr>
      <w:divsChild>
        <w:div w:id="34240330">
          <w:marLeft w:val="0"/>
          <w:marRight w:val="0"/>
          <w:marTop w:val="0"/>
          <w:marBottom w:val="0"/>
          <w:divBdr>
            <w:top w:val="none" w:sz="0" w:space="0" w:color="auto"/>
            <w:left w:val="none" w:sz="0" w:space="0" w:color="auto"/>
            <w:bottom w:val="none" w:sz="0" w:space="0" w:color="auto"/>
            <w:right w:val="none" w:sz="0" w:space="0" w:color="auto"/>
          </w:divBdr>
        </w:div>
      </w:divsChild>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792167461">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05342378">
      <w:bodyDiv w:val="1"/>
      <w:marLeft w:val="0"/>
      <w:marRight w:val="0"/>
      <w:marTop w:val="0"/>
      <w:marBottom w:val="0"/>
      <w:divBdr>
        <w:top w:val="none" w:sz="0" w:space="0" w:color="auto"/>
        <w:left w:val="none" w:sz="0" w:space="0" w:color="auto"/>
        <w:bottom w:val="none" w:sz="0" w:space="0" w:color="auto"/>
        <w:right w:val="none" w:sz="0" w:space="0" w:color="auto"/>
      </w:divBdr>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889762916">
      <w:bodyDiv w:val="1"/>
      <w:marLeft w:val="0"/>
      <w:marRight w:val="0"/>
      <w:marTop w:val="0"/>
      <w:marBottom w:val="0"/>
      <w:divBdr>
        <w:top w:val="none" w:sz="0" w:space="0" w:color="auto"/>
        <w:left w:val="none" w:sz="0" w:space="0" w:color="auto"/>
        <w:bottom w:val="none" w:sz="0" w:space="0" w:color="auto"/>
        <w:right w:val="none" w:sz="0" w:space="0" w:color="auto"/>
      </w:divBdr>
    </w:div>
    <w:div w:id="1901671971">
      <w:bodyDiv w:val="1"/>
      <w:marLeft w:val="0"/>
      <w:marRight w:val="0"/>
      <w:marTop w:val="0"/>
      <w:marBottom w:val="0"/>
      <w:divBdr>
        <w:top w:val="none" w:sz="0" w:space="0" w:color="auto"/>
        <w:left w:val="none" w:sz="0" w:space="0" w:color="auto"/>
        <w:bottom w:val="none" w:sz="0" w:space="0" w:color="auto"/>
        <w:right w:val="none" w:sz="0" w:space="0" w:color="auto"/>
      </w:divBdr>
      <w:divsChild>
        <w:div w:id="1650090110">
          <w:marLeft w:val="0"/>
          <w:marRight w:val="0"/>
          <w:marTop w:val="0"/>
          <w:marBottom w:val="0"/>
          <w:divBdr>
            <w:top w:val="none" w:sz="0" w:space="0" w:color="auto"/>
            <w:left w:val="none" w:sz="0" w:space="0" w:color="auto"/>
            <w:bottom w:val="none" w:sz="0" w:space="0" w:color="auto"/>
            <w:right w:val="none" w:sz="0" w:space="0" w:color="auto"/>
          </w:divBdr>
          <w:divsChild>
            <w:div w:id="1778325568">
              <w:marLeft w:val="0"/>
              <w:marRight w:val="0"/>
              <w:marTop w:val="0"/>
              <w:marBottom w:val="0"/>
              <w:divBdr>
                <w:top w:val="none" w:sz="0" w:space="0" w:color="auto"/>
                <w:left w:val="none" w:sz="0" w:space="0" w:color="auto"/>
                <w:bottom w:val="none" w:sz="0" w:space="0" w:color="auto"/>
                <w:right w:val="none" w:sz="0" w:space="0" w:color="auto"/>
              </w:divBdr>
              <w:divsChild>
                <w:div w:id="514852523">
                  <w:marLeft w:val="0"/>
                  <w:marRight w:val="0"/>
                  <w:marTop w:val="0"/>
                  <w:marBottom w:val="0"/>
                  <w:divBdr>
                    <w:top w:val="none" w:sz="0" w:space="0" w:color="auto"/>
                    <w:left w:val="none" w:sz="0" w:space="0" w:color="auto"/>
                    <w:bottom w:val="none" w:sz="0" w:space="0" w:color="auto"/>
                    <w:right w:val="none" w:sz="0" w:space="0" w:color="auto"/>
                  </w:divBdr>
                  <w:divsChild>
                    <w:div w:id="2002155763">
                      <w:marLeft w:val="0"/>
                      <w:marRight w:val="0"/>
                      <w:marTop w:val="0"/>
                      <w:marBottom w:val="0"/>
                      <w:divBdr>
                        <w:top w:val="none" w:sz="0" w:space="0" w:color="auto"/>
                        <w:left w:val="none" w:sz="0" w:space="0" w:color="auto"/>
                        <w:bottom w:val="none" w:sz="0" w:space="0" w:color="auto"/>
                        <w:right w:val="none" w:sz="0" w:space="0" w:color="auto"/>
                      </w:divBdr>
                      <w:divsChild>
                        <w:div w:id="1751733714">
                          <w:marLeft w:val="0"/>
                          <w:marRight w:val="0"/>
                          <w:marTop w:val="0"/>
                          <w:marBottom w:val="0"/>
                          <w:divBdr>
                            <w:top w:val="none" w:sz="0" w:space="0" w:color="auto"/>
                            <w:left w:val="none" w:sz="0" w:space="0" w:color="auto"/>
                            <w:bottom w:val="none" w:sz="0" w:space="0" w:color="auto"/>
                            <w:right w:val="none" w:sz="0" w:space="0" w:color="auto"/>
                          </w:divBdr>
                          <w:divsChild>
                            <w:div w:id="850753630">
                              <w:marLeft w:val="0"/>
                              <w:marRight w:val="0"/>
                              <w:marTop w:val="0"/>
                              <w:marBottom w:val="0"/>
                              <w:divBdr>
                                <w:top w:val="none" w:sz="0" w:space="0" w:color="auto"/>
                                <w:left w:val="none" w:sz="0" w:space="0" w:color="auto"/>
                                <w:bottom w:val="none" w:sz="0" w:space="0" w:color="auto"/>
                                <w:right w:val="none" w:sz="0" w:space="0" w:color="auto"/>
                              </w:divBdr>
                              <w:divsChild>
                                <w:div w:id="1225095468">
                                  <w:marLeft w:val="0"/>
                                  <w:marRight w:val="0"/>
                                  <w:marTop w:val="210"/>
                                  <w:marBottom w:val="0"/>
                                  <w:divBdr>
                                    <w:top w:val="none" w:sz="0" w:space="0" w:color="auto"/>
                                    <w:left w:val="none" w:sz="0" w:space="0" w:color="auto"/>
                                    <w:bottom w:val="none" w:sz="0" w:space="0" w:color="auto"/>
                                    <w:right w:val="none" w:sz="0" w:space="0" w:color="auto"/>
                                  </w:divBdr>
                                  <w:divsChild>
                                    <w:div w:id="1745224563">
                                      <w:marLeft w:val="0"/>
                                      <w:marRight w:val="0"/>
                                      <w:marTop w:val="0"/>
                                      <w:marBottom w:val="0"/>
                                      <w:divBdr>
                                        <w:top w:val="none" w:sz="0" w:space="0" w:color="auto"/>
                                        <w:left w:val="none" w:sz="0" w:space="0" w:color="auto"/>
                                        <w:bottom w:val="none" w:sz="0" w:space="0" w:color="auto"/>
                                        <w:right w:val="none" w:sz="0" w:space="0" w:color="auto"/>
                                      </w:divBdr>
                                      <w:divsChild>
                                        <w:div w:id="1094011802">
                                          <w:marLeft w:val="-240"/>
                                          <w:marRight w:val="-240"/>
                                          <w:marTop w:val="0"/>
                                          <w:marBottom w:val="0"/>
                                          <w:divBdr>
                                            <w:top w:val="none" w:sz="0" w:space="0" w:color="auto"/>
                                            <w:left w:val="none" w:sz="0" w:space="0" w:color="auto"/>
                                            <w:bottom w:val="none" w:sz="0" w:space="0" w:color="auto"/>
                                            <w:right w:val="none" w:sz="0" w:space="0" w:color="auto"/>
                                          </w:divBdr>
                                          <w:divsChild>
                                            <w:div w:id="867445838">
                                              <w:marLeft w:val="0"/>
                                              <w:marRight w:val="0"/>
                                              <w:marTop w:val="0"/>
                                              <w:marBottom w:val="0"/>
                                              <w:divBdr>
                                                <w:top w:val="none" w:sz="0" w:space="0" w:color="auto"/>
                                                <w:left w:val="none" w:sz="0" w:space="0" w:color="auto"/>
                                                <w:bottom w:val="none" w:sz="0" w:space="0" w:color="auto"/>
                                                <w:right w:val="none" w:sz="0" w:space="0" w:color="auto"/>
                                              </w:divBdr>
                                              <w:divsChild>
                                                <w:div w:id="1037898541">
                                                  <w:marLeft w:val="0"/>
                                                  <w:marRight w:val="0"/>
                                                  <w:marTop w:val="150"/>
                                                  <w:marBottom w:val="270"/>
                                                  <w:divBdr>
                                                    <w:top w:val="none" w:sz="0" w:space="0" w:color="auto"/>
                                                    <w:left w:val="none" w:sz="0" w:space="0" w:color="auto"/>
                                                    <w:bottom w:val="none" w:sz="0" w:space="0" w:color="auto"/>
                                                    <w:right w:val="none" w:sz="0" w:space="0" w:color="auto"/>
                                                  </w:divBdr>
                                                  <w:divsChild>
                                                    <w:div w:id="2102488406">
                                                      <w:marLeft w:val="0"/>
                                                      <w:marRight w:val="0"/>
                                                      <w:marTop w:val="150"/>
                                                      <w:marBottom w:val="270"/>
                                                      <w:divBdr>
                                                        <w:top w:val="none" w:sz="0" w:space="0" w:color="auto"/>
                                                        <w:left w:val="none" w:sz="0" w:space="0" w:color="auto"/>
                                                        <w:bottom w:val="none" w:sz="0" w:space="0" w:color="auto"/>
                                                        <w:right w:val="none" w:sz="0" w:space="0" w:color="auto"/>
                                                      </w:divBdr>
                                                    </w:div>
                                                    <w:div w:id="616065666">
                                                      <w:marLeft w:val="0"/>
                                                      <w:marRight w:val="0"/>
                                                      <w:marTop w:val="150"/>
                                                      <w:marBottom w:val="270"/>
                                                      <w:divBdr>
                                                        <w:top w:val="none" w:sz="0" w:space="0" w:color="auto"/>
                                                        <w:left w:val="none" w:sz="0" w:space="0" w:color="auto"/>
                                                        <w:bottom w:val="none" w:sz="0" w:space="0" w:color="auto"/>
                                                        <w:right w:val="none" w:sz="0" w:space="0" w:color="auto"/>
                                                      </w:divBdr>
                                                    </w:div>
                                                    <w:div w:id="915670659">
                                                      <w:marLeft w:val="0"/>
                                                      <w:marRight w:val="0"/>
                                                      <w:marTop w:val="150"/>
                                                      <w:marBottom w:val="270"/>
                                                      <w:divBdr>
                                                        <w:top w:val="none" w:sz="0" w:space="0" w:color="auto"/>
                                                        <w:left w:val="none" w:sz="0" w:space="0" w:color="auto"/>
                                                        <w:bottom w:val="none" w:sz="0" w:space="0" w:color="auto"/>
                                                        <w:right w:val="none" w:sz="0" w:space="0" w:color="auto"/>
                                                      </w:divBdr>
                                                    </w:div>
                                                    <w:div w:id="1799492137">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24878411">
      <w:bodyDiv w:val="1"/>
      <w:marLeft w:val="0"/>
      <w:marRight w:val="0"/>
      <w:marTop w:val="0"/>
      <w:marBottom w:val="0"/>
      <w:divBdr>
        <w:top w:val="none" w:sz="0" w:space="0" w:color="auto"/>
        <w:left w:val="none" w:sz="0" w:space="0" w:color="auto"/>
        <w:bottom w:val="none" w:sz="0" w:space="0" w:color="auto"/>
        <w:right w:val="none" w:sz="0" w:space="0" w:color="auto"/>
      </w:divBdr>
      <w:divsChild>
        <w:div w:id="516163479">
          <w:marLeft w:val="0"/>
          <w:marRight w:val="0"/>
          <w:marTop w:val="150"/>
          <w:marBottom w:val="270"/>
          <w:divBdr>
            <w:top w:val="none" w:sz="0" w:space="0" w:color="auto"/>
            <w:left w:val="none" w:sz="0" w:space="0" w:color="auto"/>
            <w:bottom w:val="none" w:sz="0" w:space="0" w:color="auto"/>
            <w:right w:val="none" w:sz="0" w:space="0" w:color="auto"/>
          </w:divBdr>
        </w:div>
        <w:div w:id="763526399">
          <w:marLeft w:val="0"/>
          <w:marRight w:val="0"/>
          <w:marTop w:val="150"/>
          <w:marBottom w:val="270"/>
          <w:divBdr>
            <w:top w:val="none" w:sz="0" w:space="0" w:color="auto"/>
            <w:left w:val="none" w:sz="0" w:space="0" w:color="auto"/>
            <w:bottom w:val="none" w:sz="0" w:space="0" w:color="auto"/>
            <w:right w:val="none" w:sz="0" w:space="0" w:color="auto"/>
          </w:divBdr>
        </w:div>
        <w:div w:id="14578003">
          <w:marLeft w:val="0"/>
          <w:marRight w:val="0"/>
          <w:marTop w:val="150"/>
          <w:marBottom w:val="270"/>
          <w:divBdr>
            <w:top w:val="none" w:sz="0" w:space="0" w:color="auto"/>
            <w:left w:val="none" w:sz="0" w:space="0" w:color="auto"/>
            <w:bottom w:val="none" w:sz="0" w:space="0" w:color="auto"/>
            <w:right w:val="none" w:sz="0" w:space="0" w:color="auto"/>
          </w:divBdr>
        </w:div>
        <w:div w:id="892741658">
          <w:marLeft w:val="0"/>
          <w:marRight w:val="0"/>
          <w:marTop w:val="150"/>
          <w:marBottom w:val="270"/>
          <w:divBdr>
            <w:top w:val="none" w:sz="0" w:space="0" w:color="auto"/>
            <w:left w:val="none" w:sz="0" w:space="0" w:color="auto"/>
            <w:bottom w:val="none" w:sz="0" w:space="0" w:color="auto"/>
            <w:right w:val="none" w:sz="0" w:space="0" w:color="auto"/>
          </w:divBdr>
        </w:div>
      </w:divsChild>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0335347">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1887571">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58172777">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33875192">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58701687">
      <w:bodyDiv w:val="1"/>
      <w:marLeft w:val="0"/>
      <w:marRight w:val="0"/>
      <w:marTop w:val="0"/>
      <w:marBottom w:val="0"/>
      <w:divBdr>
        <w:top w:val="none" w:sz="0" w:space="0" w:color="auto"/>
        <w:left w:val="none" w:sz="0" w:space="0" w:color="auto"/>
        <w:bottom w:val="none" w:sz="0" w:space="0" w:color="auto"/>
        <w:right w:val="none" w:sz="0" w:space="0" w:color="auto"/>
      </w:divBdr>
    </w:div>
    <w:div w:id="2060931884">
      <w:bodyDiv w:val="1"/>
      <w:marLeft w:val="0"/>
      <w:marRight w:val="0"/>
      <w:marTop w:val="0"/>
      <w:marBottom w:val="0"/>
      <w:divBdr>
        <w:top w:val="none" w:sz="0" w:space="0" w:color="auto"/>
        <w:left w:val="none" w:sz="0" w:space="0" w:color="auto"/>
        <w:bottom w:val="none" w:sz="0" w:space="0" w:color="auto"/>
        <w:right w:val="none" w:sz="0" w:space="0" w:color="auto"/>
      </w:divBdr>
      <w:divsChild>
        <w:div w:id="627393944">
          <w:marLeft w:val="0"/>
          <w:marRight w:val="0"/>
          <w:marTop w:val="0"/>
          <w:marBottom w:val="0"/>
          <w:divBdr>
            <w:top w:val="none" w:sz="0" w:space="0" w:color="auto"/>
            <w:left w:val="none" w:sz="0" w:space="0" w:color="auto"/>
            <w:bottom w:val="none" w:sz="0" w:space="0" w:color="auto"/>
            <w:right w:val="none" w:sz="0" w:space="0" w:color="auto"/>
          </w:divBdr>
          <w:divsChild>
            <w:div w:id="81490075">
              <w:marLeft w:val="0"/>
              <w:marRight w:val="0"/>
              <w:marTop w:val="0"/>
              <w:marBottom w:val="0"/>
              <w:divBdr>
                <w:top w:val="none" w:sz="0" w:space="0" w:color="auto"/>
                <w:left w:val="none" w:sz="0" w:space="0" w:color="auto"/>
                <w:bottom w:val="none" w:sz="0" w:space="0" w:color="auto"/>
                <w:right w:val="none" w:sz="0" w:space="0" w:color="auto"/>
              </w:divBdr>
              <w:divsChild>
                <w:div w:id="2011516787">
                  <w:marLeft w:val="0"/>
                  <w:marRight w:val="0"/>
                  <w:marTop w:val="0"/>
                  <w:marBottom w:val="0"/>
                  <w:divBdr>
                    <w:top w:val="none" w:sz="0" w:space="0" w:color="auto"/>
                    <w:left w:val="none" w:sz="0" w:space="0" w:color="auto"/>
                    <w:bottom w:val="none" w:sz="0" w:space="0" w:color="auto"/>
                    <w:right w:val="none" w:sz="0" w:space="0" w:color="auto"/>
                  </w:divBdr>
                  <w:divsChild>
                    <w:div w:id="487870162">
                      <w:marLeft w:val="0"/>
                      <w:marRight w:val="0"/>
                      <w:marTop w:val="0"/>
                      <w:marBottom w:val="0"/>
                      <w:divBdr>
                        <w:top w:val="none" w:sz="0" w:space="0" w:color="auto"/>
                        <w:left w:val="none" w:sz="0" w:space="0" w:color="auto"/>
                        <w:bottom w:val="none" w:sz="0" w:space="0" w:color="auto"/>
                        <w:right w:val="none" w:sz="0" w:space="0" w:color="auto"/>
                      </w:divBdr>
                      <w:divsChild>
                        <w:div w:id="325088308">
                          <w:marLeft w:val="0"/>
                          <w:marRight w:val="0"/>
                          <w:marTop w:val="0"/>
                          <w:marBottom w:val="0"/>
                          <w:divBdr>
                            <w:top w:val="none" w:sz="0" w:space="0" w:color="auto"/>
                            <w:left w:val="none" w:sz="0" w:space="0" w:color="auto"/>
                            <w:bottom w:val="none" w:sz="0" w:space="0" w:color="auto"/>
                            <w:right w:val="none" w:sz="0" w:space="0" w:color="auto"/>
                          </w:divBdr>
                          <w:divsChild>
                            <w:div w:id="1178736248">
                              <w:marLeft w:val="0"/>
                              <w:marRight w:val="0"/>
                              <w:marTop w:val="0"/>
                              <w:marBottom w:val="0"/>
                              <w:divBdr>
                                <w:top w:val="none" w:sz="0" w:space="0" w:color="auto"/>
                                <w:left w:val="none" w:sz="0" w:space="0" w:color="auto"/>
                                <w:bottom w:val="none" w:sz="0" w:space="0" w:color="auto"/>
                                <w:right w:val="none" w:sz="0" w:space="0" w:color="auto"/>
                              </w:divBdr>
                              <w:divsChild>
                                <w:div w:id="21565152">
                                  <w:marLeft w:val="0"/>
                                  <w:marRight w:val="0"/>
                                  <w:marTop w:val="0"/>
                                  <w:marBottom w:val="0"/>
                                  <w:divBdr>
                                    <w:top w:val="none" w:sz="0" w:space="0" w:color="auto"/>
                                    <w:left w:val="none" w:sz="0" w:space="0" w:color="auto"/>
                                    <w:bottom w:val="none" w:sz="0" w:space="0" w:color="auto"/>
                                    <w:right w:val="none" w:sz="0" w:space="0" w:color="auto"/>
                                  </w:divBdr>
                                  <w:divsChild>
                                    <w:div w:id="1200051589">
                                      <w:marLeft w:val="0"/>
                                      <w:marRight w:val="0"/>
                                      <w:marTop w:val="0"/>
                                      <w:marBottom w:val="0"/>
                                      <w:divBdr>
                                        <w:top w:val="none" w:sz="0" w:space="0" w:color="auto"/>
                                        <w:left w:val="none" w:sz="0" w:space="0" w:color="auto"/>
                                        <w:bottom w:val="none" w:sz="0" w:space="0" w:color="auto"/>
                                        <w:right w:val="none" w:sz="0" w:space="0" w:color="auto"/>
                                      </w:divBdr>
                                      <w:divsChild>
                                        <w:div w:id="456066944">
                                          <w:marLeft w:val="0"/>
                                          <w:marRight w:val="0"/>
                                          <w:marTop w:val="0"/>
                                          <w:marBottom w:val="0"/>
                                          <w:divBdr>
                                            <w:top w:val="none" w:sz="0" w:space="0" w:color="auto"/>
                                            <w:left w:val="none" w:sz="0" w:space="0" w:color="auto"/>
                                            <w:bottom w:val="none" w:sz="0" w:space="0" w:color="auto"/>
                                            <w:right w:val="none" w:sz="0" w:space="0" w:color="auto"/>
                                          </w:divBdr>
                                          <w:divsChild>
                                            <w:div w:id="219095940">
                                              <w:marLeft w:val="0"/>
                                              <w:marRight w:val="0"/>
                                              <w:marTop w:val="0"/>
                                              <w:marBottom w:val="0"/>
                                              <w:divBdr>
                                                <w:top w:val="none" w:sz="0" w:space="0" w:color="auto"/>
                                                <w:left w:val="none" w:sz="0" w:space="0" w:color="auto"/>
                                                <w:bottom w:val="none" w:sz="0" w:space="0" w:color="auto"/>
                                                <w:right w:val="none" w:sz="0" w:space="0" w:color="auto"/>
                                              </w:divBdr>
                                              <w:divsChild>
                                                <w:div w:id="439490242">
                                                  <w:marLeft w:val="0"/>
                                                  <w:marRight w:val="0"/>
                                                  <w:marTop w:val="0"/>
                                                  <w:marBottom w:val="0"/>
                                                  <w:divBdr>
                                                    <w:top w:val="none" w:sz="0" w:space="0" w:color="auto"/>
                                                    <w:left w:val="none" w:sz="0" w:space="0" w:color="auto"/>
                                                    <w:bottom w:val="none" w:sz="0" w:space="0" w:color="auto"/>
                                                    <w:right w:val="none" w:sz="0" w:space="0" w:color="auto"/>
                                                  </w:divBdr>
                                                  <w:divsChild>
                                                    <w:div w:id="1356030493">
                                                      <w:marLeft w:val="0"/>
                                                      <w:marRight w:val="0"/>
                                                      <w:marTop w:val="0"/>
                                                      <w:marBottom w:val="0"/>
                                                      <w:divBdr>
                                                        <w:top w:val="none" w:sz="0" w:space="0" w:color="auto"/>
                                                        <w:left w:val="none" w:sz="0" w:space="0" w:color="auto"/>
                                                        <w:bottom w:val="none" w:sz="0" w:space="0" w:color="auto"/>
                                                        <w:right w:val="none" w:sz="0" w:space="0" w:color="auto"/>
                                                      </w:divBdr>
                                                      <w:divsChild>
                                                        <w:div w:id="1229805563">
                                                          <w:marLeft w:val="0"/>
                                                          <w:marRight w:val="0"/>
                                                          <w:marTop w:val="0"/>
                                                          <w:marBottom w:val="0"/>
                                                          <w:divBdr>
                                                            <w:top w:val="none" w:sz="0" w:space="0" w:color="auto"/>
                                                            <w:left w:val="none" w:sz="0" w:space="0" w:color="auto"/>
                                                            <w:bottom w:val="none" w:sz="0" w:space="0" w:color="auto"/>
                                                            <w:right w:val="none" w:sz="0" w:space="0" w:color="auto"/>
                                                          </w:divBdr>
                                                          <w:divsChild>
                                                            <w:div w:id="999112073">
                                                              <w:marLeft w:val="0"/>
                                                              <w:marRight w:val="0"/>
                                                              <w:marTop w:val="0"/>
                                                              <w:marBottom w:val="0"/>
                                                              <w:divBdr>
                                                                <w:top w:val="none" w:sz="0" w:space="0" w:color="auto"/>
                                                                <w:left w:val="none" w:sz="0" w:space="0" w:color="auto"/>
                                                                <w:bottom w:val="none" w:sz="0" w:space="0" w:color="auto"/>
                                                                <w:right w:val="none" w:sz="0" w:space="0" w:color="auto"/>
                                                              </w:divBdr>
                                                              <w:divsChild>
                                                                <w:div w:id="576285388">
                                                                  <w:marLeft w:val="0"/>
                                                                  <w:marRight w:val="0"/>
                                                                  <w:marTop w:val="0"/>
                                                                  <w:marBottom w:val="0"/>
                                                                  <w:divBdr>
                                                                    <w:top w:val="none" w:sz="0" w:space="0" w:color="auto"/>
                                                                    <w:left w:val="none" w:sz="0" w:space="0" w:color="auto"/>
                                                                    <w:bottom w:val="none" w:sz="0" w:space="0" w:color="auto"/>
                                                                    <w:right w:val="none" w:sz="0" w:space="0" w:color="auto"/>
                                                                  </w:divBdr>
                                                                  <w:divsChild>
                                                                    <w:div w:id="1384252350">
                                                                      <w:marLeft w:val="0"/>
                                                                      <w:marRight w:val="0"/>
                                                                      <w:marTop w:val="0"/>
                                                                      <w:marBottom w:val="0"/>
                                                                      <w:divBdr>
                                                                        <w:top w:val="none" w:sz="0" w:space="0" w:color="auto"/>
                                                                        <w:left w:val="none" w:sz="0" w:space="0" w:color="auto"/>
                                                                        <w:bottom w:val="none" w:sz="0" w:space="0" w:color="auto"/>
                                                                        <w:right w:val="none" w:sz="0" w:space="0" w:color="auto"/>
                                                                      </w:divBdr>
                                                                      <w:divsChild>
                                                                        <w:div w:id="1551377199">
                                                                          <w:marLeft w:val="0"/>
                                                                          <w:marRight w:val="0"/>
                                                                          <w:marTop w:val="0"/>
                                                                          <w:marBottom w:val="0"/>
                                                                          <w:divBdr>
                                                                            <w:top w:val="none" w:sz="0" w:space="0" w:color="auto"/>
                                                                            <w:left w:val="none" w:sz="0" w:space="0" w:color="auto"/>
                                                                            <w:bottom w:val="none" w:sz="0" w:space="0" w:color="auto"/>
                                                                            <w:right w:val="none" w:sz="0" w:space="0" w:color="auto"/>
                                                                          </w:divBdr>
                                                                          <w:divsChild>
                                                                            <w:div w:id="1997296355">
                                                                              <w:marLeft w:val="0"/>
                                                                              <w:marRight w:val="0"/>
                                                                              <w:marTop w:val="0"/>
                                                                              <w:marBottom w:val="0"/>
                                                                              <w:divBdr>
                                                                                <w:top w:val="none" w:sz="0" w:space="0" w:color="auto"/>
                                                                                <w:left w:val="none" w:sz="0" w:space="0" w:color="auto"/>
                                                                                <w:bottom w:val="none" w:sz="0" w:space="0" w:color="auto"/>
                                                                                <w:right w:val="none" w:sz="0" w:space="0" w:color="auto"/>
                                                                              </w:divBdr>
                                                                              <w:divsChild>
                                                                                <w:div w:id="1244148796">
                                                                                  <w:marLeft w:val="0"/>
                                                                                  <w:marRight w:val="0"/>
                                                                                  <w:marTop w:val="0"/>
                                                                                  <w:marBottom w:val="0"/>
                                                                                  <w:divBdr>
                                                                                    <w:top w:val="none" w:sz="0" w:space="0" w:color="auto"/>
                                                                                    <w:left w:val="none" w:sz="0" w:space="0" w:color="auto"/>
                                                                                    <w:bottom w:val="none" w:sz="0" w:space="0" w:color="auto"/>
                                                                                    <w:right w:val="none" w:sz="0" w:space="0" w:color="auto"/>
                                                                                  </w:divBdr>
                                                                                  <w:divsChild>
                                                                                    <w:div w:id="357510052">
                                                                                      <w:marLeft w:val="0"/>
                                                                                      <w:marRight w:val="0"/>
                                                                                      <w:marTop w:val="0"/>
                                                                                      <w:marBottom w:val="0"/>
                                                                                      <w:divBdr>
                                                                                        <w:top w:val="none" w:sz="0" w:space="0" w:color="auto"/>
                                                                                        <w:left w:val="none" w:sz="0" w:space="0" w:color="auto"/>
                                                                                        <w:bottom w:val="none" w:sz="0" w:space="0" w:color="auto"/>
                                                                                        <w:right w:val="none" w:sz="0" w:space="0" w:color="auto"/>
                                                                                      </w:divBdr>
                                                                                      <w:divsChild>
                                                                                        <w:div w:id="4296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2364170">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2852002">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21684380">
      <w:bodyDiv w:val="1"/>
      <w:marLeft w:val="0"/>
      <w:marRight w:val="0"/>
      <w:marTop w:val="0"/>
      <w:marBottom w:val="0"/>
      <w:divBdr>
        <w:top w:val="none" w:sz="0" w:space="0" w:color="auto"/>
        <w:left w:val="none" w:sz="0" w:space="0" w:color="auto"/>
        <w:bottom w:val="none" w:sz="0" w:space="0" w:color="auto"/>
        <w:right w:val="none" w:sz="0" w:space="0" w:color="auto"/>
      </w:divBdr>
      <w:divsChild>
        <w:div w:id="369232319">
          <w:marLeft w:val="0"/>
          <w:marRight w:val="0"/>
          <w:marTop w:val="0"/>
          <w:marBottom w:val="0"/>
          <w:divBdr>
            <w:top w:val="none" w:sz="0" w:space="0" w:color="auto"/>
            <w:left w:val="none" w:sz="0" w:space="0" w:color="auto"/>
            <w:bottom w:val="none" w:sz="0" w:space="0" w:color="auto"/>
            <w:right w:val="none" w:sz="0" w:space="0" w:color="auto"/>
          </w:divBdr>
          <w:divsChild>
            <w:div w:id="1873692067">
              <w:marLeft w:val="0"/>
              <w:marRight w:val="0"/>
              <w:marTop w:val="0"/>
              <w:marBottom w:val="0"/>
              <w:divBdr>
                <w:top w:val="none" w:sz="0" w:space="0" w:color="auto"/>
                <w:left w:val="none" w:sz="0" w:space="0" w:color="auto"/>
                <w:bottom w:val="none" w:sz="0" w:space="0" w:color="auto"/>
                <w:right w:val="none" w:sz="0" w:space="0" w:color="auto"/>
              </w:divBdr>
              <w:divsChild>
                <w:div w:id="1025521487">
                  <w:marLeft w:val="0"/>
                  <w:marRight w:val="0"/>
                  <w:marTop w:val="0"/>
                  <w:marBottom w:val="0"/>
                  <w:divBdr>
                    <w:top w:val="none" w:sz="0" w:space="0" w:color="auto"/>
                    <w:left w:val="none" w:sz="0" w:space="0" w:color="auto"/>
                    <w:bottom w:val="none" w:sz="0" w:space="0" w:color="auto"/>
                    <w:right w:val="none" w:sz="0" w:space="0" w:color="auto"/>
                  </w:divBdr>
                  <w:divsChild>
                    <w:div w:id="1577133911">
                      <w:marLeft w:val="0"/>
                      <w:marRight w:val="0"/>
                      <w:marTop w:val="0"/>
                      <w:marBottom w:val="0"/>
                      <w:divBdr>
                        <w:top w:val="none" w:sz="0" w:space="0" w:color="auto"/>
                        <w:left w:val="none" w:sz="0" w:space="0" w:color="auto"/>
                        <w:bottom w:val="none" w:sz="0" w:space="0" w:color="auto"/>
                        <w:right w:val="none" w:sz="0" w:space="0" w:color="auto"/>
                      </w:divBdr>
                      <w:divsChild>
                        <w:div w:id="1980068321">
                          <w:marLeft w:val="0"/>
                          <w:marRight w:val="0"/>
                          <w:marTop w:val="0"/>
                          <w:marBottom w:val="0"/>
                          <w:divBdr>
                            <w:top w:val="none" w:sz="0" w:space="0" w:color="auto"/>
                            <w:left w:val="none" w:sz="0" w:space="0" w:color="auto"/>
                            <w:bottom w:val="none" w:sz="0" w:space="0" w:color="auto"/>
                            <w:right w:val="none" w:sz="0" w:space="0" w:color="auto"/>
                          </w:divBdr>
                          <w:divsChild>
                            <w:div w:id="1251813839">
                              <w:marLeft w:val="0"/>
                              <w:marRight w:val="0"/>
                              <w:marTop w:val="0"/>
                              <w:marBottom w:val="0"/>
                              <w:divBdr>
                                <w:top w:val="none" w:sz="0" w:space="0" w:color="auto"/>
                                <w:left w:val="none" w:sz="0" w:space="0" w:color="auto"/>
                                <w:bottom w:val="none" w:sz="0" w:space="0" w:color="auto"/>
                                <w:right w:val="none" w:sz="0" w:space="0" w:color="auto"/>
                              </w:divBdr>
                              <w:divsChild>
                                <w:div w:id="889072888">
                                  <w:marLeft w:val="0"/>
                                  <w:marRight w:val="0"/>
                                  <w:marTop w:val="0"/>
                                  <w:marBottom w:val="0"/>
                                  <w:divBdr>
                                    <w:top w:val="none" w:sz="0" w:space="0" w:color="auto"/>
                                    <w:left w:val="none" w:sz="0" w:space="0" w:color="auto"/>
                                    <w:bottom w:val="none" w:sz="0" w:space="0" w:color="auto"/>
                                    <w:right w:val="none" w:sz="0" w:space="0" w:color="auto"/>
                                  </w:divBdr>
                                  <w:divsChild>
                                    <w:div w:id="675036943">
                                      <w:marLeft w:val="0"/>
                                      <w:marRight w:val="0"/>
                                      <w:marTop w:val="0"/>
                                      <w:marBottom w:val="0"/>
                                      <w:divBdr>
                                        <w:top w:val="none" w:sz="0" w:space="0" w:color="auto"/>
                                        <w:left w:val="none" w:sz="0" w:space="0" w:color="auto"/>
                                        <w:bottom w:val="none" w:sz="0" w:space="0" w:color="auto"/>
                                        <w:right w:val="none" w:sz="0" w:space="0" w:color="auto"/>
                                      </w:divBdr>
                                      <w:divsChild>
                                        <w:div w:id="913972971">
                                          <w:marLeft w:val="0"/>
                                          <w:marRight w:val="0"/>
                                          <w:marTop w:val="0"/>
                                          <w:marBottom w:val="0"/>
                                          <w:divBdr>
                                            <w:top w:val="none" w:sz="0" w:space="0" w:color="auto"/>
                                            <w:left w:val="none" w:sz="0" w:space="0" w:color="auto"/>
                                            <w:bottom w:val="none" w:sz="0" w:space="0" w:color="auto"/>
                                            <w:right w:val="none" w:sz="0" w:space="0" w:color="auto"/>
                                          </w:divBdr>
                                          <w:divsChild>
                                            <w:div w:id="323902108">
                                              <w:marLeft w:val="0"/>
                                              <w:marRight w:val="0"/>
                                              <w:marTop w:val="0"/>
                                              <w:marBottom w:val="0"/>
                                              <w:divBdr>
                                                <w:top w:val="none" w:sz="0" w:space="0" w:color="auto"/>
                                                <w:left w:val="none" w:sz="0" w:space="0" w:color="auto"/>
                                                <w:bottom w:val="none" w:sz="0" w:space="0" w:color="auto"/>
                                                <w:right w:val="none" w:sz="0" w:space="0" w:color="auto"/>
                                              </w:divBdr>
                                              <w:divsChild>
                                                <w:div w:id="1404260765">
                                                  <w:marLeft w:val="0"/>
                                                  <w:marRight w:val="0"/>
                                                  <w:marTop w:val="0"/>
                                                  <w:marBottom w:val="0"/>
                                                  <w:divBdr>
                                                    <w:top w:val="none" w:sz="0" w:space="0" w:color="auto"/>
                                                    <w:left w:val="none" w:sz="0" w:space="0" w:color="auto"/>
                                                    <w:bottom w:val="none" w:sz="0" w:space="0" w:color="auto"/>
                                                    <w:right w:val="none" w:sz="0" w:space="0" w:color="auto"/>
                                                  </w:divBdr>
                                                  <w:divsChild>
                                                    <w:div w:id="158231008">
                                                      <w:marLeft w:val="0"/>
                                                      <w:marRight w:val="0"/>
                                                      <w:marTop w:val="0"/>
                                                      <w:marBottom w:val="0"/>
                                                      <w:divBdr>
                                                        <w:top w:val="none" w:sz="0" w:space="0" w:color="auto"/>
                                                        <w:left w:val="none" w:sz="0" w:space="0" w:color="auto"/>
                                                        <w:bottom w:val="none" w:sz="0" w:space="0" w:color="auto"/>
                                                        <w:right w:val="none" w:sz="0" w:space="0" w:color="auto"/>
                                                      </w:divBdr>
                                                      <w:divsChild>
                                                        <w:div w:id="1433360167">
                                                          <w:marLeft w:val="0"/>
                                                          <w:marRight w:val="0"/>
                                                          <w:marTop w:val="0"/>
                                                          <w:marBottom w:val="0"/>
                                                          <w:divBdr>
                                                            <w:top w:val="none" w:sz="0" w:space="0" w:color="auto"/>
                                                            <w:left w:val="none" w:sz="0" w:space="0" w:color="auto"/>
                                                            <w:bottom w:val="none" w:sz="0" w:space="0" w:color="auto"/>
                                                            <w:right w:val="none" w:sz="0" w:space="0" w:color="auto"/>
                                                          </w:divBdr>
                                                          <w:divsChild>
                                                            <w:div w:id="1295331153">
                                                              <w:marLeft w:val="0"/>
                                                              <w:marRight w:val="0"/>
                                                              <w:marTop w:val="0"/>
                                                              <w:marBottom w:val="0"/>
                                                              <w:divBdr>
                                                                <w:top w:val="none" w:sz="0" w:space="0" w:color="auto"/>
                                                                <w:left w:val="none" w:sz="0" w:space="0" w:color="auto"/>
                                                                <w:bottom w:val="none" w:sz="0" w:space="0" w:color="auto"/>
                                                                <w:right w:val="none" w:sz="0" w:space="0" w:color="auto"/>
                                                              </w:divBdr>
                                                              <w:divsChild>
                                                                <w:div w:id="2111460987">
                                                                  <w:marLeft w:val="0"/>
                                                                  <w:marRight w:val="0"/>
                                                                  <w:marTop w:val="0"/>
                                                                  <w:marBottom w:val="0"/>
                                                                  <w:divBdr>
                                                                    <w:top w:val="none" w:sz="0" w:space="0" w:color="auto"/>
                                                                    <w:left w:val="none" w:sz="0" w:space="0" w:color="auto"/>
                                                                    <w:bottom w:val="none" w:sz="0" w:space="0" w:color="auto"/>
                                                                    <w:right w:val="none" w:sz="0" w:space="0" w:color="auto"/>
                                                                  </w:divBdr>
                                                                  <w:divsChild>
                                                                    <w:div w:id="1556818139">
                                                                      <w:marLeft w:val="0"/>
                                                                      <w:marRight w:val="0"/>
                                                                      <w:marTop w:val="0"/>
                                                                      <w:marBottom w:val="0"/>
                                                                      <w:divBdr>
                                                                        <w:top w:val="none" w:sz="0" w:space="0" w:color="auto"/>
                                                                        <w:left w:val="none" w:sz="0" w:space="0" w:color="auto"/>
                                                                        <w:bottom w:val="none" w:sz="0" w:space="0" w:color="auto"/>
                                                                        <w:right w:val="none" w:sz="0" w:space="0" w:color="auto"/>
                                                                      </w:divBdr>
                                                                      <w:divsChild>
                                                                        <w:div w:id="1098719427">
                                                                          <w:marLeft w:val="0"/>
                                                                          <w:marRight w:val="0"/>
                                                                          <w:marTop w:val="0"/>
                                                                          <w:marBottom w:val="0"/>
                                                                          <w:divBdr>
                                                                            <w:top w:val="none" w:sz="0" w:space="0" w:color="auto"/>
                                                                            <w:left w:val="none" w:sz="0" w:space="0" w:color="auto"/>
                                                                            <w:bottom w:val="none" w:sz="0" w:space="0" w:color="auto"/>
                                                                            <w:right w:val="none" w:sz="0" w:space="0" w:color="auto"/>
                                                                          </w:divBdr>
                                                                          <w:divsChild>
                                                                            <w:div w:id="1062750869">
                                                                              <w:marLeft w:val="0"/>
                                                                              <w:marRight w:val="0"/>
                                                                              <w:marTop w:val="0"/>
                                                                              <w:marBottom w:val="0"/>
                                                                              <w:divBdr>
                                                                                <w:top w:val="none" w:sz="0" w:space="0" w:color="auto"/>
                                                                                <w:left w:val="none" w:sz="0" w:space="0" w:color="auto"/>
                                                                                <w:bottom w:val="none" w:sz="0" w:space="0" w:color="auto"/>
                                                                                <w:right w:val="none" w:sz="0" w:space="0" w:color="auto"/>
                                                                              </w:divBdr>
                                                                              <w:divsChild>
                                                                                <w:div w:id="345834034">
                                                                                  <w:marLeft w:val="0"/>
                                                                                  <w:marRight w:val="0"/>
                                                                                  <w:marTop w:val="0"/>
                                                                                  <w:marBottom w:val="0"/>
                                                                                  <w:divBdr>
                                                                                    <w:top w:val="none" w:sz="0" w:space="0" w:color="auto"/>
                                                                                    <w:left w:val="none" w:sz="0" w:space="0" w:color="auto"/>
                                                                                    <w:bottom w:val="none" w:sz="0" w:space="0" w:color="auto"/>
                                                                                    <w:right w:val="none" w:sz="0" w:space="0" w:color="auto"/>
                                                                                  </w:divBdr>
                                                                                  <w:divsChild>
                                                                                    <w:div w:id="111748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lancet.com/journals/lanepe/article/PIIS2666-7762(22)00213-7/fulltext" TargetMode="External"/><Relationship Id="rId18" Type="http://schemas.openxmlformats.org/officeDocument/2006/relationships/hyperlink" Target="https://www.bmj.com/content/378/bmj.o2055" TargetMode="External"/><Relationship Id="rId26" Type="http://schemas.openxmlformats.org/officeDocument/2006/relationships/hyperlink" Target="https://jamanetwork.com/journals/jama/fullarticle/2796269" TargetMode="External"/><Relationship Id="rId39" Type="http://schemas.openxmlformats.org/officeDocument/2006/relationships/hyperlink" Target="https://www.thelancet.com/journals/lancet/article/PIIS0140-6736(22)01585-9/fulltext" TargetMode="External"/><Relationship Id="rId21" Type="http://schemas.openxmlformats.org/officeDocument/2006/relationships/hyperlink" Target="https://jamanetwork.com/journals/jamanetworkopen/fullarticle/2796183" TargetMode="External"/><Relationship Id="rId34" Type="http://schemas.openxmlformats.org/officeDocument/2006/relationships/hyperlink" Target="https://jamanetwork.com/journals/jamanetworkopen/fullarticle/2796086" TargetMode="External"/><Relationship Id="rId42" Type="http://schemas.openxmlformats.org/officeDocument/2006/relationships/hyperlink" Target="https://jamanetwork.com/journals/jamapediatrics/fullarticle/2795650" TargetMode="External"/><Relationship Id="rId47" Type="http://schemas.openxmlformats.org/officeDocument/2006/relationships/hyperlink" Target="https://trfthealthweeklydigest.wordpress.com/" TargetMode="External"/><Relationship Id="rId50" Type="http://schemas.openxmlformats.org/officeDocument/2006/relationships/hyperlink" Target="https://www.trftlibraryknowledge.com/health-newsfeeds.html" TargetMode="External"/><Relationship Id="rId55" Type="http://schemas.openxmlformats.org/officeDocument/2006/relationships/hyperlink" Target="http://www.trftlibraryknowledge.com/" TargetMode="External"/><Relationship Id="rId7" Type="http://schemas.openxmlformats.org/officeDocument/2006/relationships/endnotes" Target="endnotes.xml"/><Relationship Id="rId12" Type="http://schemas.openxmlformats.org/officeDocument/2006/relationships/hyperlink" Target="https://www.bmj.com/content/378/bmj.o2232" TargetMode="External"/><Relationship Id="rId17" Type="http://schemas.openxmlformats.org/officeDocument/2006/relationships/hyperlink" Target="https://www.thelancet.com/journals/laninf/article/PIIS1473-3099(22)00591-6/fulltext" TargetMode="External"/><Relationship Id="rId25" Type="http://schemas.openxmlformats.org/officeDocument/2006/relationships/hyperlink" Target="https://www.thelancet.com/journals/lanwpc/article/PIIS2666-6065(22)00201-2/fulltext" TargetMode="External"/><Relationship Id="rId33" Type="http://schemas.openxmlformats.org/officeDocument/2006/relationships/hyperlink" Target="https://jamanetwork.com/journals/jamanetworkopen/fullarticle/2796275" TargetMode="External"/><Relationship Id="rId38" Type="http://schemas.openxmlformats.org/officeDocument/2006/relationships/hyperlink" Target="https://www.bmj.com/content/378/bmj.o2237" TargetMode="External"/><Relationship Id="rId46" Type="http://schemas.openxmlformats.org/officeDocument/2006/relationships/hyperlink" Target="https://www.trftlibraryknowledge.com/coronavirus.html"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helancet.com/journals/ebiom/article/PIIS2352-3964(22)00452-2/fulltext" TargetMode="External"/><Relationship Id="rId20" Type="http://schemas.openxmlformats.org/officeDocument/2006/relationships/hyperlink" Target="https://jamanetwork.com/journals/jama/fullarticle/2796238" TargetMode="External"/><Relationship Id="rId29" Type="http://schemas.openxmlformats.org/officeDocument/2006/relationships/hyperlink" Target="https://jamanetwork.com/journals/jamainternalmedicine/fullarticle/2796235" TargetMode="External"/><Relationship Id="rId41" Type="http://schemas.openxmlformats.org/officeDocument/2006/relationships/hyperlink" Target="https://www.bmj.com/content/378/bmj.o2249" TargetMode="External"/><Relationship Id="rId54" Type="http://schemas.openxmlformats.org/officeDocument/2006/relationships/hyperlink" Target="https://twitter.com/hashtag/covid19rftlks?src=hashtag_cli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lancet.com/journals/lanrhe/article/PIIS2665-9913(22)00265-X/fulltext" TargetMode="External"/><Relationship Id="rId24" Type="http://schemas.openxmlformats.org/officeDocument/2006/relationships/hyperlink" Target="https://www.thelancet.com/journals/laninf/article/PIIS1473-3099(22)00506-0/fulltext" TargetMode="External"/><Relationship Id="rId32" Type="http://schemas.openxmlformats.org/officeDocument/2006/relationships/hyperlink" Target="https://www.nejm.org/doi/full/10.1056/NEJMc2210813" TargetMode="External"/><Relationship Id="rId37" Type="http://schemas.openxmlformats.org/officeDocument/2006/relationships/hyperlink" Target="https://www.bmj.com/content/378/bmj.o2252" TargetMode="External"/><Relationship Id="rId40" Type="http://schemas.openxmlformats.org/officeDocument/2006/relationships/hyperlink" Target="https://www.thelancet.com/journals/lancet/article/PIIS0140-6736(22)01761-5/fulltext" TargetMode="External"/><Relationship Id="rId45" Type="http://schemas.openxmlformats.org/officeDocument/2006/relationships/hyperlink" Target="https://www.trftlibraryknowledge.com/" TargetMode="External"/><Relationship Id="rId53" Type="http://schemas.openxmlformats.org/officeDocument/2006/relationships/hyperlink" Target="https://trfthealthweeklydigest.wordpress.com/"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bmj.com/content/378/bmj.o2183" TargetMode="External"/><Relationship Id="rId23" Type="http://schemas.openxmlformats.org/officeDocument/2006/relationships/hyperlink" Target="https://www.thelancet.com/journals/laninf/article/PIIS1473-3099(22)00576-X/fulltext" TargetMode="External"/><Relationship Id="rId28" Type="http://schemas.openxmlformats.org/officeDocument/2006/relationships/hyperlink" Target="https://www.nejm.org/doi/full/10.1056/NEJMc2210093" TargetMode="External"/><Relationship Id="rId36" Type="http://schemas.openxmlformats.org/officeDocument/2006/relationships/hyperlink" Target="https://www.nejm.org/doi/full/10.1056/NEJMp2206851" TargetMode="External"/><Relationship Id="rId49" Type="http://schemas.openxmlformats.org/officeDocument/2006/relationships/hyperlink" Target="http://www.trftlibraryknowledge.com/" TargetMode="External"/><Relationship Id="rId57" Type="http://schemas.openxmlformats.org/officeDocument/2006/relationships/header" Target="header1.xml"/><Relationship Id="rId10" Type="http://schemas.openxmlformats.org/officeDocument/2006/relationships/hyperlink" Target="https://www.thelancet.com/journals/lanrhe/article/PIIS2665-9913(22)00227-2/fulltext" TargetMode="External"/><Relationship Id="rId19" Type="http://schemas.openxmlformats.org/officeDocument/2006/relationships/hyperlink" Target="https://www.bmj.com/content/378/bmj-2022-071215" TargetMode="External"/><Relationship Id="rId31" Type="http://schemas.openxmlformats.org/officeDocument/2006/relationships/hyperlink" Target="https://www.thelancet.com/journals/lanepe/article/PIIS2666-7762(22)00187-9/fulltext" TargetMode="External"/><Relationship Id="rId44" Type="http://schemas.openxmlformats.org/officeDocument/2006/relationships/hyperlink" Target="https://jamanetwork.com/journals/jama/fullarticle/2796449" TargetMode="External"/><Relationship Id="rId52" Type="http://schemas.openxmlformats.org/officeDocument/2006/relationships/hyperlink" Target="https://www.trftlibraryknowledge.com/coronavirus.html"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helancet.com/journals/lanres/article/PIIS2213-2600(22)00261-2/fulltext" TargetMode="External"/><Relationship Id="rId14" Type="http://schemas.openxmlformats.org/officeDocument/2006/relationships/hyperlink" Target="https://jamanetwork.com/journals/jamanetworkopen/fullarticle/2796276" TargetMode="External"/><Relationship Id="rId22" Type="http://schemas.openxmlformats.org/officeDocument/2006/relationships/hyperlink" Target="https://jamanetwork.com/journals/jama/fullarticle/2796271" TargetMode="External"/><Relationship Id="rId27" Type="http://schemas.openxmlformats.org/officeDocument/2006/relationships/hyperlink" Target="https://jamanetwork.com/journals/jamanetworkopen/fullarticle/2796277" TargetMode="External"/><Relationship Id="rId30" Type="http://schemas.openxmlformats.org/officeDocument/2006/relationships/hyperlink" Target="https://www.thelancet.com/journals/lanepe/article/PIIS2666-7762(22)00208-3/fulltext" TargetMode="External"/><Relationship Id="rId35" Type="http://schemas.openxmlformats.org/officeDocument/2006/relationships/hyperlink" Target="https://jamanetwork.com/journals/jamanetworkopen/fullarticle/2796363" TargetMode="External"/><Relationship Id="rId43" Type="http://schemas.openxmlformats.org/officeDocument/2006/relationships/hyperlink" Target="https://www.nejm.org/doi/full/10.1056/NEJMp2207543" TargetMode="External"/><Relationship Id="rId48" Type="http://schemas.openxmlformats.org/officeDocument/2006/relationships/hyperlink" Target="https://twitter.com/hashtag/covid19rftlks?src=hashtag_click" TargetMode="External"/><Relationship Id="rId56" Type="http://schemas.openxmlformats.org/officeDocument/2006/relationships/hyperlink" Target="https://www.trftlibraryknowledge.com/health-newsfeeds.html" TargetMode="External"/><Relationship Id="rId8" Type="http://schemas.openxmlformats.org/officeDocument/2006/relationships/hyperlink" Target="https://www.bmj.com/content/378/bmj.o2224.full" TargetMode="External"/><Relationship Id="rId51" Type="http://schemas.openxmlformats.org/officeDocument/2006/relationships/hyperlink" Target="https://www.trftlibraryknowledge.com/"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300A7-2DDA-485A-8C2A-1AB2ED328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1900</TotalTime>
  <Pages>16</Pages>
  <Words>5563</Words>
  <Characters>31713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37202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Cartwright Helen</cp:lastModifiedBy>
  <cp:revision>196</cp:revision>
  <cp:lastPrinted>2017-09-22T10:09:00Z</cp:lastPrinted>
  <dcterms:created xsi:type="dcterms:W3CDTF">2022-04-29T12:22:00Z</dcterms:created>
  <dcterms:modified xsi:type="dcterms:W3CDTF">2022-09-20T14:21:00Z</dcterms:modified>
</cp:coreProperties>
</file>