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29B" w:rsidRDefault="008A42F4"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0FB9D99" wp14:editId="6FD9C9AD">
                <wp:simplePos x="0" y="0"/>
                <wp:positionH relativeFrom="column">
                  <wp:posOffset>-17780</wp:posOffset>
                </wp:positionH>
                <wp:positionV relativeFrom="paragraph">
                  <wp:posOffset>40005</wp:posOffset>
                </wp:positionV>
                <wp:extent cx="6410325" cy="132842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6410325" cy="132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10292" w:rsidRPr="003A63FA" w:rsidRDefault="00A10292" w:rsidP="00DE4846">
                            <w:pPr>
                              <w:rPr>
                                <w:color w:val="FFFFFF" w:themeColor="background1"/>
                                <w:sz w:val="2"/>
                              </w:rPr>
                            </w:pPr>
                          </w:p>
                          <w:p w:rsidR="00A10292" w:rsidRPr="00DE4846" w:rsidRDefault="00A10292" w:rsidP="00836C56">
                            <w:pPr>
                              <w:jc w:val="right"/>
                              <w:rPr>
                                <w:color w:val="FFFFFF" w:themeColor="background1"/>
                                <w:sz w:val="40"/>
                                <w:szCs w:val="40"/>
                              </w:rPr>
                            </w:pPr>
                            <w:r>
                              <w:rPr>
                                <w:color w:val="FFFFFF" w:themeColor="background1"/>
                                <w:sz w:val="40"/>
                                <w:szCs w:val="40"/>
                              </w:rPr>
                              <w:t>COVID-19 weekly update</w:t>
                            </w:r>
                          </w:p>
                          <w:p w:rsidR="00A10292" w:rsidRPr="00DE4846" w:rsidRDefault="00A10292" w:rsidP="00836C56">
                            <w:pPr>
                              <w:jc w:val="right"/>
                              <w:rPr>
                                <w:color w:val="FFFFFF" w:themeColor="background1"/>
                                <w:sz w:val="32"/>
                                <w:szCs w:val="36"/>
                              </w:rPr>
                            </w:pPr>
                            <w:r>
                              <w:rPr>
                                <w:color w:val="FFFFFF" w:themeColor="background1"/>
                                <w:sz w:val="32"/>
                                <w:szCs w:val="36"/>
                              </w:rPr>
                              <w:t>10</w:t>
                            </w:r>
                            <w:r w:rsidRPr="008546DC">
                              <w:rPr>
                                <w:color w:val="FFFFFF" w:themeColor="background1"/>
                                <w:sz w:val="32"/>
                                <w:szCs w:val="36"/>
                                <w:vertAlign w:val="superscript"/>
                              </w:rPr>
                              <w:t>th</w:t>
                            </w:r>
                            <w:r>
                              <w:rPr>
                                <w:color w:val="FFFFFF" w:themeColor="background1"/>
                                <w:sz w:val="32"/>
                                <w:szCs w:val="36"/>
                              </w:rPr>
                              <w:t xml:space="preserve"> December2021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B9D99" id="_x0000_t202" coordsize="21600,21600" o:spt="202" path="m,l,21600r21600,l21600,xe">
                <v:stroke joinstyle="miter"/>
                <v:path gradientshapeok="t" o:connecttype="rect"/>
              </v:shapetype>
              <v:shape id="Text Box 7" o:spid="_x0000_s1026" type="#_x0000_t202" style="position:absolute;margin-left:-1.4pt;margin-top:3.15pt;width:504.75pt;height:10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" filled="f" stroked="f" strokeweight=".5pt">
                <v:textbox>
                  <w:txbxContent>
                    <w:p w:rsidR="00A10292" w:rsidRPr="003A63FA" w:rsidRDefault="00A10292" w:rsidP="00DE4846">
                      <w:pPr>
                        <w:rPr>
                          <w:color w:val="FFFFFF" w:themeColor="background1"/>
                          <w:sz w:val="2"/>
                        </w:rPr>
                      </w:pPr>
                    </w:p>
                    <w:p w:rsidR="00A10292" w:rsidRPr="00DE4846" w:rsidRDefault="00A10292" w:rsidP="00836C56">
                      <w:pPr>
                        <w:jc w:val="right"/>
                        <w:rPr>
                          <w:color w:val="FFFFFF" w:themeColor="background1"/>
                          <w:sz w:val="40"/>
                          <w:szCs w:val="40"/>
                        </w:rPr>
                      </w:pPr>
                      <w:r>
                        <w:rPr>
                          <w:color w:val="FFFFFF" w:themeColor="background1"/>
                          <w:sz w:val="40"/>
                          <w:szCs w:val="40"/>
                        </w:rPr>
                        <w:t>COVID-19 weekly update</w:t>
                      </w:r>
                    </w:p>
                    <w:p w:rsidR="00A10292" w:rsidRPr="00DE4846" w:rsidRDefault="00A10292" w:rsidP="00836C56">
                      <w:pPr>
                        <w:jc w:val="right"/>
                        <w:rPr>
                          <w:color w:val="FFFFFF" w:themeColor="background1"/>
                          <w:sz w:val="32"/>
                          <w:szCs w:val="36"/>
                        </w:rPr>
                      </w:pPr>
                      <w:r>
                        <w:rPr>
                          <w:color w:val="FFFFFF" w:themeColor="background1"/>
                          <w:sz w:val="32"/>
                          <w:szCs w:val="36"/>
                        </w:rPr>
                        <w:t>10</w:t>
                      </w:r>
                      <w:r w:rsidRPr="008546DC">
                        <w:rPr>
                          <w:color w:val="FFFFFF" w:themeColor="background1"/>
                          <w:sz w:val="32"/>
                          <w:szCs w:val="36"/>
                          <w:vertAlign w:val="superscript"/>
                        </w:rPr>
                        <w:t>th</w:t>
                      </w:r>
                      <w:r>
                        <w:rPr>
                          <w:color w:val="FFFFFF" w:themeColor="background1"/>
                          <w:sz w:val="32"/>
                          <w:szCs w:val="36"/>
                        </w:rPr>
                        <w:t xml:space="preserve"> December2021</w:t>
                      </w:r>
                    </w:p>
                  </w:txbxContent>
                </v:textbox>
              </v:shape>
            </w:pict>
          </mc:Fallback>
        </mc:AlternateContent>
      </w: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3BF25E76" wp14:editId="5C1EB466">
                <wp:simplePos x="0" y="0"/>
                <wp:positionH relativeFrom="column">
                  <wp:posOffset>-1880235</wp:posOffset>
                </wp:positionH>
                <wp:positionV relativeFrom="paragraph">
                  <wp:posOffset>125730</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10292" w:rsidRDefault="00A10292"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5E76"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" fillcolor="#82bca9" stroked="f" strokeweight="2pt">
                <v:textbox>
                  <w:txbxContent>
                    <w:p w:rsidR="00A10292" w:rsidRDefault="00A10292" w:rsidP="00DE4846">
                      <w:pPr>
                        <w:jc w:val="center"/>
                      </w:pPr>
                    </w:p>
                  </w:txbxContent>
                </v:textbox>
              </v:rect>
            </w:pict>
          </mc:Fallback>
        </mc:AlternateContent>
      </w:r>
      <w:r w:rsidR="002F7CA7">
        <w:rPr>
          <w:color w:val="943634" w:themeColor="accent2" w:themeShade="BF"/>
          <w:sz w:val="32"/>
          <w:szCs w:val="32"/>
        </w:rPr>
        <w:t xml:space="preserve"> </w:t>
      </w:r>
    </w:p>
    <w:p w:rsidR="00DE4846" w:rsidRDefault="00DE4846" w:rsidP="007F331F">
      <w:pPr>
        <w:rPr>
          <w:color w:val="943634" w:themeColor="accent2" w:themeShade="BF"/>
          <w:sz w:val="32"/>
          <w:szCs w:val="32"/>
        </w:rPr>
      </w:pPr>
    </w:p>
    <w:p w:rsidR="00DE4846" w:rsidRDefault="00DE4846" w:rsidP="007F331F">
      <w:pPr>
        <w:rPr>
          <w:b/>
          <w:color w:val="943634" w:themeColor="accent2" w:themeShade="BF"/>
          <w:sz w:val="40"/>
          <w:szCs w:val="32"/>
        </w:rPr>
      </w:pPr>
    </w:p>
    <w:p w:rsidR="00CA2E8A" w:rsidRPr="00785978" w:rsidRDefault="006F5EA0" w:rsidP="00CA2E8A">
      <w:pPr>
        <w:pBdr>
          <w:top w:val="single" w:sz="24" w:space="0" w:color="82BCA9"/>
          <w:left w:val="single" w:sz="24" w:space="0" w:color="82BCA9"/>
          <w:bottom w:val="single" w:sz="24" w:space="0" w:color="82BCA9"/>
          <w:right w:val="single" w:sz="24" w:space="0" w:color="82BCA9"/>
        </w:pBdr>
        <w:shd w:val="clear" w:color="auto" w:fill="82BCA9"/>
        <w:tabs>
          <w:tab w:val="right" w:pos="9026"/>
        </w:tabs>
        <w:spacing w:before="200" w:after="0"/>
        <w:outlineLvl w:val="0"/>
        <w:rPr>
          <w:rFonts w:ascii="Dotum" w:eastAsiaTheme="minorEastAsia" w:hAnsi="Dotum"/>
          <w:bCs/>
          <w:caps/>
          <w:color w:val="FFFFFF" w:themeColor="background1"/>
          <w:spacing w:val="15"/>
        </w:rPr>
      </w:pPr>
      <w:r w:rsidRPr="00785978">
        <w:rPr>
          <w:rFonts w:ascii="Dotum" w:eastAsiaTheme="minorEastAsia" w:hAnsi="Dotum"/>
          <w:bCs/>
          <w:caps/>
          <w:color w:val="FFFFFF" w:themeColor="background1"/>
          <w:spacing w:val="15"/>
        </w:rPr>
        <w:t>clinical management</w:t>
      </w:r>
      <w:r w:rsidR="00CA2E8A" w:rsidRPr="00785978">
        <w:rPr>
          <w:rFonts w:ascii="Dotum" w:eastAsiaTheme="minorEastAsia" w:hAnsi="Dotum"/>
          <w:bCs/>
          <w:caps/>
          <w:color w:val="FFFFFF" w:themeColor="background1"/>
          <w:spacing w:val="15"/>
        </w:rPr>
        <w:tab/>
      </w:r>
    </w:p>
    <w:p w:rsidR="007E4F47" w:rsidRDefault="00A30349" w:rsidP="007E4F47">
      <w:pPr>
        <w:pBdr>
          <w:top w:val="single" w:sz="6" w:space="2" w:color="D4802C"/>
          <w:left w:val="single" w:sz="6" w:space="2" w:color="D4802C"/>
        </w:pBdr>
        <w:spacing w:before="300"/>
        <w:outlineLvl w:val="2"/>
        <w:rPr>
          <w:rFonts w:eastAsiaTheme="minorEastAsia"/>
        </w:rPr>
      </w:pPr>
      <w:bookmarkStart w:id="0" w:name="_Toc491341607"/>
      <w:r w:rsidRPr="00D6477B">
        <w:rPr>
          <w:rFonts w:eastAsiaTheme="minorEastAsia"/>
          <w:b/>
          <w:caps/>
          <w:spacing w:val="15"/>
        </w:rPr>
        <w:t>Title:</w:t>
      </w:r>
      <w:bookmarkEnd w:id="0"/>
      <w:r w:rsidR="003121CE" w:rsidRPr="003121CE">
        <w:t xml:space="preserve"> </w:t>
      </w:r>
      <w:r w:rsidR="003121CE" w:rsidRPr="003121CE">
        <w:rPr>
          <w:rFonts w:eastAsiaTheme="minorEastAsia"/>
          <w:caps/>
          <w:spacing w:val="15"/>
        </w:rPr>
        <w:t>EMA recommends approval for use of RoActemra in adults with severe COVID-19</w:t>
      </w:r>
      <w:r w:rsidR="007E4F47">
        <w:rPr>
          <w:rFonts w:eastAsiaTheme="minorEastAsia"/>
        </w:rPr>
        <w:t xml:space="preserve"> </w:t>
      </w:r>
    </w:p>
    <w:p w:rsidR="003121CE" w:rsidRDefault="003121CE" w:rsidP="00A30349">
      <w:pPr>
        <w:spacing w:before="200"/>
        <w:rPr>
          <w:rFonts w:eastAsiaTheme="minorEastAsia"/>
        </w:rPr>
      </w:pPr>
      <w:r>
        <w:rPr>
          <w:rFonts w:eastAsiaTheme="minorEastAsia"/>
        </w:rPr>
        <w:t>European Medicines Agency | 6</w:t>
      </w:r>
      <w:r w:rsidRPr="003121CE">
        <w:rPr>
          <w:rFonts w:eastAsiaTheme="minorEastAsia"/>
          <w:vertAlign w:val="superscript"/>
        </w:rPr>
        <w:t>th</w:t>
      </w:r>
      <w:r>
        <w:rPr>
          <w:rFonts w:eastAsiaTheme="minorEastAsia"/>
        </w:rPr>
        <w:t xml:space="preserve"> December 2021</w:t>
      </w:r>
    </w:p>
    <w:p w:rsidR="003121CE" w:rsidRDefault="003121CE" w:rsidP="00A30349">
      <w:pPr>
        <w:spacing w:before="200"/>
        <w:rPr>
          <w:rFonts w:eastAsiaTheme="minorEastAsia"/>
        </w:rPr>
      </w:pPr>
      <w:r w:rsidRPr="003121CE">
        <w:rPr>
          <w:rFonts w:eastAsiaTheme="minorEastAsia"/>
        </w:rPr>
        <w:t xml:space="preserve">EMA’s human medicines committee (CHMP) has recommended extending the indication of </w:t>
      </w:r>
      <w:proofErr w:type="spellStart"/>
      <w:r w:rsidRPr="003121CE">
        <w:rPr>
          <w:rFonts w:eastAsiaTheme="minorEastAsia"/>
        </w:rPr>
        <w:t>RoActemra</w:t>
      </w:r>
      <w:proofErr w:type="spellEnd"/>
      <w:r w:rsidRPr="003121CE">
        <w:rPr>
          <w:rFonts w:eastAsiaTheme="minorEastAsia"/>
        </w:rPr>
        <w:t xml:space="preserve"> (</w:t>
      </w:r>
      <w:proofErr w:type="spellStart"/>
      <w:r w:rsidRPr="003121CE">
        <w:rPr>
          <w:rFonts w:eastAsiaTheme="minorEastAsia"/>
        </w:rPr>
        <w:t>tocilizumab</w:t>
      </w:r>
      <w:proofErr w:type="spellEnd"/>
      <w:r w:rsidRPr="003121CE">
        <w:rPr>
          <w:rFonts w:eastAsiaTheme="minorEastAsia"/>
        </w:rPr>
        <w:t>) to include the treatment of adults with COVID-19 who are receiving systemic treatment with corticosteroids and require supplemental oxygen or mechanical ventilation.</w:t>
      </w:r>
    </w:p>
    <w:p w:rsidR="003121CE" w:rsidRPr="003121CE" w:rsidRDefault="003121CE" w:rsidP="003121CE">
      <w:pPr>
        <w:spacing w:before="200"/>
        <w:rPr>
          <w:rFonts w:eastAsiaTheme="minorEastAsia"/>
        </w:rPr>
      </w:pPr>
      <w:r w:rsidRPr="003121CE">
        <w:rPr>
          <w:rFonts w:eastAsiaTheme="minorEastAsia"/>
        </w:rPr>
        <w:t xml:space="preserve">In reaching its conclusion, the CHMP evaluated data from a main study involving 4,116 hospitalised adults with severe COVID-19 who required extra oxygen or mechanical ventilation and had high levels of C-reactive protein in the blood (indicating inflammation). </w:t>
      </w:r>
    </w:p>
    <w:p w:rsidR="003121CE" w:rsidRDefault="003121CE" w:rsidP="003121CE">
      <w:pPr>
        <w:spacing w:before="200"/>
        <w:rPr>
          <w:rFonts w:eastAsiaTheme="minorEastAsia"/>
        </w:rPr>
      </w:pPr>
      <w:r w:rsidRPr="003121CE">
        <w:rPr>
          <w:rFonts w:eastAsiaTheme="minorEastAsia"/>
        </w:rPr>
        <w:t xml:space="preserve">The study showed that treatment with </w:t>
      </w:r>
      <w:proofErr w:type="spellStart"/>
      <w:r w:rsidRPr="003121CE">
        <w:rPr>
          <w:rFonts w:eastAsiaTheme="minorEastAsia"/>
        </w:rPr>
        <w:t>RoActemra</w:t>
      </w:r>
      <w:proofErr w:type="spellEnd"/>
      <w:r w:rsidRPr="003121CE">
        <w:rPr>
          <w:rFonts w:eastAsiaTheme="minorEastAsia"/>
        </w:rPr>
        <w:t xml:space="preserve"> given by infusion in addition to standard treatment reduces the risk of death when compared with standard treatment alone. The study also indicated that an increase in mortality </w:t>
      </w:r>
      <w:proofErr w:type="gramStart"/>
      <w:r w:rsidRPr="003121CE">
        <w:rPr>
          <w:rFonts w:eastAsiaTheme="minorEastAsia"/>
        </w:rPr>
        <w:t>cannot</w:t>
      </w:r>
      <w:proofErr w:type="gramEnd"/>
      <w:r w:rsidRPr="003121CE">
        <w:rPr>
          <w:rFonts w:eastAsiaTheme="minorEastAsia"/>
        </w:rPr>
        <w:t xml:space="preserve"> be excluded when using </w:t>
      </w:r>
      <w:proofErr w:type="spellStart"/>
      <w:r w:rsidRPr="003121CE">
        <w:rPr>
          <w:rFonts w:eastAsiaTheme="minorEastAsia"/>
        </w:rPr>
        <w:t>RoActemra</w:t>
      </w:r>
      <w:proofErr w:type="spellEnd"/>
      <w:r w:rsidRPr="003121CE">
        <w:rPr>
          <w:rFonts w:eastAsiaTheme="minorEastAsia"/>
        </w:rPr>
        <w:t xml:space="preserve"> in patients who are not receiving systemic corticosteroids. However, the safety profile of the medicine was favourable in those who are already receiving treatment with corticosteroids and the CHMP concluded that the medicine’s benefits are greater than the risks for these patients.</w:t>
      </w:r>
    </w:p>
    <w:p w:rsidR="003121CE" w:rsidRPr="003121CE" w:rsidRDefault="003121CE" w:rsidP="003121CE">
      <w:pPr>
        <w:spacing w:before="200"/>
        <w:rPr>
          <w:rFonts w:eastAsiaTheme="minorEastAsia"/>
        </w:rPr>
      </w:pPr>
      <w:r>
        <w:rPr>
          <w:rFonts w:eastAsiaTheme="minorEastAsia"/>
        </w:rPr>
        <w:t xml:space="preserve">Full detail: </w:t>
      </w:r>
      <w:hyperlink r:id="rId7" w:history="1">
        <w:r w:rsidRPr="003121CE">
          <w:rPr>
            <w:rStyle w:val="Hyperlink"/>
            <w:rFonts w:eastAsiaTheme="minorEastAsia"/>
          </w:rPr>
          <w:t xml:space="preserve">EMA recommends approval for use of </w:t>
        </w:r>
        <w:proofErr w:type="spellStart"/>
        <w:r w:rsidRPr="003121CE">
          <w:rPr>
            <w:rStyle w:val="Hyperlink"/>
            <w:rFonts w:eastAsiaTheme="minorEastAsia"/>
          </w:rPr>
          <w:t>RoActemra</w:t>
        </w:r>
        <w:proofErr w:type="spellEnd"/>
        <w:r w:rsidRPr="003121CE">
          <w:rPr>
            <w:rStyle w:val="Hyperlink"/>
            <w:rFonts w:eastAsiaTheme="minorEastAsia"/>
          </w:rPr>
          <w:t xml:space="preserve"> in adults with severe COVID-19</w:t>
        </w:r>
      </w:hyperlink>
      <w:r>
        <w:rPr>
          <w:rFonts w:eastAsiaTheme="minorEastAsia"/>
        </w:rPr>
        <w:br/>
      </w:r>
    </w:p>
    <w:p w:rsidR="006A0DAD" w:rsidRPr="006A0DAD" w:rsidRDefault="00A30349" w:rsidP="007E4F47">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B04748" w:rsidRPr="00B04748">
        <w:rPr>
          <w:rFonts w:eastAsiaTheme="minorEastAsia"/>
          <w:caps/>
          <w:spacing w:val="15"/>
        </w:rPr>
        <w:t>UK's most vulnerable people to receive life-saving COVID-19 treatments in the community</w:t>
      </w:r>
    </w:p>
    <w:p w:rsidR="00B04748" w:rsidRDefault="00B04748" w:rsidP="00A30349">
      <w:pPr>
        <w:spacing w:before="200"/>
        <w:rPr>
          <w:rFonts w:eastAsiaTheme="minorEastAsia"/>
        </w:rPr>
      </w:pPr>
      <w:r w:rsidRPr="00B04748">
        <w:rPr>
          <w:rFonts w:eastAsiaTheme="minorEastAsia"/>
        </w:rPr>
        <w:t>Department of Health and Social Care</w:t>
      </w:r>
      <w:r w:rsidR="007B3AD6">
        <w:rPr>
          <w:rFonts w:eastAsiaTheme="minorEastAsia"/>
        </w:rPr>
        <w:t xml:space="preserve"> | 8</w:t>
      </w:r>
      <w:r w:rsidR="007B3AD6" w:rsidRPr="007B3AD6">
        <w:rPr>
          <w:rFonts w:eastAsiaTheme="minorEastAsia"/>
          <w:vertAlign w:val="superscript"/>
        </w:rPr>
        <w:t>th</w:t>
      </w:r>
      <w:r w:rsidR="007B3AD6">
        <w:rPr>
          <w:rFonts w:eastAsiaTheme="minorEastAsia"/>
        </w:rPr>
        <w:t xml:space="preserve"> December 2021</w:t>
      </w:r>
    </w:p>
    <w:p w:rsidR="00B04748" w:rsidRPr="00B04748" w:rsidRDefault="00B04748" w:rsidP="00B04748">
      <w:pPr>
        <w:spacing w:before="200"/>
        <w:rPr>
          <w:rFonts w:eastAsiaTheme="minorEastAsia"/>
        </w:rPr>
      </w:pPr>
      <w:r w:rsidRPr="00B04748">
        <w:rPr>
          <w:rFonts w:eastAsiaTheme="minorEastAsia"/>
        </w:rPr>
        <w:t>Thousands of the UK’s most vulnerable people will be among the first in the world to access life-saving, cutting-edge antiviral and antibody treatments from today, the government has announced.</w:t>
      </w:r>
    </w:p>
    <w:p w:rsidR="00B04748" w:rsidRPr="00B04748" w:rsidRDefault="00B04748" w:rsidP="00B04748">
      <w:pPr>
        <w:spacing w:before="200"/>
        <w:rPr>
          <w:rFonts w:eastAsiaTheme="minorEastAsia"/>
        </w:rPr>
      </w:pPr>
      <w:r w:rsidRPr="00B04748">
        <w:rPr>
          <w:rFonts w:eastAsiaTheme="minorEastAsia"/>
        </w:rPr>
        <w:t xml:space="preserve">A national study ‘PANORAMIC’, run by the University of Oxford in close collaboration with GP hubs, has now launched and is recruiting around 10,000 UK patients at risk of serious illness from COVID-19 to have the opportunity to take the treatment </w:t>
      </w:r>
      <w:proofErr w:type="spellStart"/>
      <w:r w:rsidRPr="00B04748">
        <w:rPr>
          <w:rFonts w:eastAsiaTheme="minorEastAsia"/>
        </w:rPr>
        <w:t>molnupiravir</w:t>
      </w:r>
      <w:proofErr w:type="spellEnd"/>
      <w:r w:rsidRPr="00B04748">
        <w:rPr>
          <w:rFonts w:eastAsiaTheme="minorEastAsia"/>
        </w:rPr>
        <w:t xml:space="preserve"> at home after receiving a positive PCR test.</w:t>
      </w:r>
    </w:p>
    <w:p w:rsidR="00B04748" w:rsidRPr="00B04748" w:rsidRDefault="00B04748" w:rsidP="00B04748">
      <w:pPr>
        <w:spacing w:before="200"/>
        <w:rPr>
          <w:rFonts w:eastAsiaTheme="minorEastAsia"/>
        </w:rPr>
      </w:pPr>
      <w:r w:rsidRPr="00B04748">
        <w:rPr>
          <w:rFonts w:eastAsiaTheme="minorEastAsia"/>
        </w:rPr>
        <w:lastRenderedPageBreak/>
        <w:t xml:space="preserve">Those at highest risk who test positive for the virus - for example, people who are immunocompromised, cancer patients or those with Down’s syndrome - will also be able to access either </w:t>
      </w:r>
      <w:proofErr w:type="spellStart"/>
      <w:r w:rsidRPr="00B04748">
        <w:rPr>
          <w:rFonts w:eastAsiaTheme="minorEastAsia"/>
        </w:rPr>
        <w:t>molnupiravir</w:t>
      </w:r>
      <w:proofErr w:type="spellEnd"/>
      <w:r w:rsidRPr="00B04748">
        <w:rPr>
          <w:rFonts w:eastAsiaTheme="minorEastAsia"/>
        </w:rPr>
        <w:t xml:space="preserve"> or the novel monoclonal antibody </w:t>
      </w:r>
      <w:proofErr w:type="spellStart"/>
      <w:r w:rsidRPr="00B04748">
        <w:rPr>
          <w:rFonts w:eastAsiaTheme="minorEastAsia"/>
        </w:rPr>
        <w:t>Ronapreve</w:t>
      </w:r>
      <w:proofErr w:type="spellEnd"/>
      <w:r w:rsidRPr="00B04748">
        <w:rPr>
          <w:rFonts w:eastAsiaTheme="minorEastAsia"/>
        </w:rPr>
        <w:t xml:space="preserve"> outside of the study from 16 December.</w:t>
      </w:r>
    </w:p>
    <w:p w:rsidR="00B04748" w:rsidRPr="00B04748" w:rsidRDefault="00B04748" w:rsidP="00B04748">
      <w:pPr>
        <w:spacing w:before="200"/>
        <w:rPr>
          <w:rFonts w:eastAsiaTheme="minorEastAsia"/>
        </w:rPr>
      </w:pPr>
      <w:proofErr w:type="spellStart"/>
      <w:r w:rsidRPr="00B04748">
        <w:rPr>
          <w:rFonts w:eastAsiaTheme="minorEastAsia"/>
        </w:rPr>
        <w:t>Molnupiravir</w:t>
      </w:r>
      <w:proofErr w:type="spellEnd"/>
      <w:r w:rsidRPr="00B04748">
        <w:rPr>
          <w:rFonts w:eastAsiaTheme="minorEastAsia"/>
        </w:rPr>
        <w:t xml:space="preserve"> has shown in clinical trials to reduce the risk of hospitalisation or death for at-risk, non-hospitalised adults with mild to moderate COVID-19 by 30% and </w:t>
      </w:r>
      <w:proofErr w:type="spellStart"/>
      <w:r w:rsidRPr="00B04748">
        <w:rPr>
          <w:rFonts w:eastAsiaTheme="minorEastAsia"/>
        </w:rPr>
        <w:t>Ronapreve</w:t>
      </w:r>
      <w:proofErr w:type="spellEnd"/>
      <w:r w:rsidRPr="00B04748">
        <w:rPr>
          <w:rFonts w:eastAsiaTheme="minorEastAsia"/>
        </w:rPr>
        <w:t xml:space="preserve"> reduced the risk by 70%.</w:t>
      </w:r>
    </w:p>
    <w:p w:rsidR="003B2F6A" w:rsidRDefault="00584843" w:rsidP="00A30349">
      <w:pPr>
        <w:spacing w:before="200"/>
        <w:rPr>
          <w:rFonts w:eastAsiaTheme="minorEastAsia"/>
        </w:rPr>
      </w:pPr>
      <w:r>
        <w:rPr>
          <w:rFonts w:eastAsiaTheme="minorEastAsia"/>
        </w:rPr>
        <w:t xml:space="preserve">Full detail: </w:t>
      </w:r>
      <w:hyperlink r:id="rId8" w:history="1">
        <w:r w:rsidRPr="00584843">
          <w:rPr>
            <w:rStyle w:val="Hyperlink"/>
            <w:rFonts w:eastAsiaTheme="minorEastAsia"/>
          </w:rPr>
          <w:t>UK's most vulnerable people to receive life-saving COVID-19 treatments in the community</w:t>
        </w:r>
      </w:hyperlink>
      <w:r w:rsidR="00DB6FA0">
        <w:rPr>
          <w:rFonts w:eastAsiaTheme="minorEastAsia"/>
        </w:rPr>
        <w:br/>
      </w:r>
    </w:p>
    <w:p w:rsidR="007E4F47" w:rsidRPr="00AB58AD" w:rsidRDefault="00A30349" w:rsidP="007E4F47">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566982" w:rsidRPr="00566982">
        <w:rPr>
          <w:rFonts w:eastAsiaTheme="minorEastAsia"/>
          <w:caps/>
          <w:spacing w:val="15"/>
        </w:rPr>
        <w:t xml:space="preserve">Update to living </w:t>
      </w:r>
      <w:proofErr w:type="gramStart"/>
      <w:r w:rsidR="00566982" w:rsidRPr="00566982">
        <w:rPr>
          <w:rFonts w:eastAsiaTheme="minorEastAsia"/>
          <w:caps/>
          <w:spacing w:val="15"/>
        </w:rPr>
        <w:t>WHO</w:t>
      </w:r>
      <w:proofErr w:type="gramEnd"/>
      <w:r w:rsidR="00566982" w:rsidRPr="00566982">
        <w:rPr>
          <w:rFonts w:eastAsiaTheme="minorEastAsia"/>
          <w:caps/>
          <w:spacing w:val="15"/>
        </w:rPr>
        <w:t xml:space="preserve"> guideline on drugs for covid-19</w:t>
      </w:r>
    </w:p>
    <w:p w:rsidR="007B3AD6" w:rsidRDefault="007B3AD6" w:rsidP="00AB58AD">
      <w:pPr>
        <w:spacing w:before="200"/>
        <w:rPr>
          <w:rFonts w:eastAsiaTheme="minorEastAsia"/>
        </w:rPr>
      </w:pPr>
      <w:r>
        <w:rPr>
          <w:rFonts w:eastAsiaTheme="minorEastAsia"/>
        </w:rPr>
        <w:t>World Health Organization | 7</w:t>
      </w:r>
      <w:r w:rsidRPr="007B3AD6">
        <w:rPr>
          <w:rFonts w:eastAsiaTheme="minorEastAsia"/>
          <w:vertAlign w:val="superscript"/>
        </w:rPr>
        <w:t>th</w:t>
      </w:r>
      <w:r>
        <w:rPr>
          <w:rFonts w:eastAsiaTheme="minorEastAsia"/>
        </w:rPr>
        <w:t xml:space="preserve"> December 2021</w:t>
      </w:r>
    </w:p>
    <w:p w:rsidR="00FA7EC6" w:rsidRDefault="00566982" w:rsidP="00AB58AD">
      <w:pPr>
        <w:spacing w:before="200"/>
        <w:rPr>
          <w:rFonts w:eastAsiaTheme="minorEastAsia"/>
        </w:rPr>
      </w:pPr>
      <w:r w:rsidRPr="00566982">
        <w:rPr>
          <w:rFonts w:eastAsiaTheme="minorEastAsia"/>
        </w:rPr>
        <w:t>The latest version of this WHO living guidance provides (</w:t>
      </w:r>
      <w:r w:rsidRPr="00566982">
        <w:rPr>
          <w:rFonts w:eastAsiaTheme="minorEastAsia"/>
          <w:i/>
          <w:iCs/>
        </w:rPr>
        <w:t>a</w:t>
      </w:r>
      <w:r w:rsidRPr="00566982">
        <w:rPr>
          <w:rFonts w:eastAsiaTheme="minorEastAsia"/>
        </w:rPr>
        <w:t>) a strong recommendation against the use of convalescent plasma in patients with non-severe illness, and (</w:t>
      </w:r>
      <w:r w:rsidRPr="00566982">
        <w:rPr>
          <w:rFonts w:eastAsiaTheme="minorEastAsia"/>
          <w:i/>
          <w:iCs/>
        </w:rPr>
        <w:t>b</w:t>
      </w:r>
      <w:r w:rsidRPr="00566982">
        <w:rPr>
          <w:rFonts w:eastAsiaTheme="minorEastAsia"/>
        </w:rPr>
        <w:t>) a recommendation against its use in patients with severe and critical illness, except in the context of a randomised clinical trial.</w:t>
      </w:r>
      <w:r w:rsidR="007E7D5F">
        <w:rPr>
          <w:rFonts w:eastAsiaTheme="minorEastAsia"/>
        </w:rPr>
        <w:t xml:space="preserve"> </w:t>
      </w:r>
    </w:p>
    <w:p w:rsidR="007B3AD6" w:rsidRDefault="007B3AD6" w:rsidP="00AB58AD">
      <w:pPr>
        <w:spacing w:before="200"/>
        <w:rPr>
          <w:rFonts w:eastAsiaTheme="minorEastAsia"/>
        </w:rPr>
      </w:pPr>
      <w:r>
        <w:rPr>
          <w:rFonts w:eastAsiaTheme="minorEastAsia"/>
        </w:rPr>
        <w:t xml:space="preserve">Full detail: </w:t>
      </w:r>
      <w:hyperlink r:id="rId9" w:anchor="/guideline/nBkO1E" w:history="1">
        <w:r w:rsidRPr="007B3AD6">
          <w:rPr>
            <w:rStyle w:val="Hyperlink"/>
            <w:rFonts w:eastAsiaTheme="minorEastAsia"/>
          </w:rPr>
          <w:t>Therapeutics and COVID-19: living guideline</w:t>
        </w:r>
      </w:hyperlink>
      <w:r>
        <w:rPr>
          <w:rFonts w:eastAsiaTheme="minorEastAsia"/>
        </w:rPr>
        <w:br/>
      </w:r>
    </w:p>
    <w:p w:rsidR="005423B7" w:rsidRDefault="00A30349" w:rsidP="007E4F47">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7E7D5F" w:rsidRPr="007E7D5F">
        <w:rPr>
          <w:rFonts w:eastAsiaTheme="minorEastAsia"/>
          <w:caps/>
          <w:spacing w:val="15"/>
        </w:rPr>
        <w:t>Laboratory confirmed vaccine-induced immune thrombotic thrombocytopenia: Retrospective analysis of reported cases after vaccination w</w:t>
      </w:r>
      <w:r w:rsidR="007E7D5F">
        <w:rPr>
          <w:rFonts w:eastAsiaTheme="minorEastAsia"/>
          <w:caps/>
          <w:spacing w:val="15"/>
        </w:rPr>
        <w:t>ith ChAdOx-1 nCoV-19 in Germany</w:t>
      </w:r>
    </w:p>
    <w:p w:rsidR="007E7D5F" w:rsidRDefault="007E7D5F" w:rsidP="007E7D5F">
      <w:pPr>
        <w:spacing w:before="200"/>
        <w:rPr>
          <w:rFonts w:eastAsiaTheme="minorEastAsia"/>
        </w:rPr>
      </w:pPr>
      <w:r>
        <w:rPr>
          <w:rFonts w:eastAsiaTheme="minorEastAsia"/>
        </w:rPr>
        <w:t>The Lancet Regional Health – Europe | 5</w:t>
      </w:r>
      <w:r w:rsidRPr="007E7D5F">
        <w:rPr>
          <w:rFonts w:eastAsiaTheme="minorEastAsia"/>
          <w:vertAlign w:val="superscript"/>
        </w:rPr>
        <w:t>th</w:t>
      </w:r>
      <w:r>
        <w:rPr>
          <w:rFonts w:eastAsiaTheme="minorEastAsia"/>
        </w:rPr>
        <w:t xml:space="preserve"> December 2021 </w:t>
      </w:r>
    </w:p>
    <w:p w:rsidR="007E7D5F" w:rsidRPr="007E7D5F" w:rsidRDefault="007E7D5F" w:rsidP="007E7D5F">
      <w:pPr>
        <w:spacing w:before="200"/>
        <w:rPr>
          <w:rFonts w:eastAsiaTheme="minorEastAsia"/>
        </w:rPr>
      </w:pPr>
      <w:r w:rsidRPr="007E7D5F">
        <w:rPr>
          <w:rFonts w:eastAsiaTheme="minorEastAsia"/>
        </w:rPr>
        <w:t>Vaccine-induced immune thrombotic thrombocytopenia (VITT) is a severe adverse event of SARS-CoV-2 vaccination. We describe the characteristics of patients reported in Germany based on the Brighton Collaboration (BC) case definition criteria for Thrombosis and Thrombocytopenia Syndrome (TTS) and focus on patients with complete anti-platelet factor 4 (PF4)-antibody laboratory work up.</w:t>
      </w:r>
    </w:p>
    <w:p w:rsidR="007E7D5F" w:rsidRPr="007E7D5F" w:rsidRDefault="007E7D5F" w:rsidP="007E7D5F">
      <w:pPr>
        <w:spacing w:before="200"/>
        <w:rPr>
          <w:rFonts w:eastAsiaTheme="minorEastAsia"/>
        </w:rPr>
      </w:pPr>
      <w:r w:rsidRPr="007E7D5F">
        <w:rPr>
          <w:rFonts w:eastAsiaTheme="minorEastAsia"/>
        </w:rPr>
        <w:t>VITT has high mortality and can present with isolated thrombocytopenia, severe headache, and bleeding. Demonstration of platelet activating anti-PF4 IgG has high sensitivity for TTS and captures a wider spectrum of clinically relevant VITT than the current BC case definition.</w:t>
      </w:r>
    </w:p>
    <w:p w:rsidR="007E7D5F" w:rsidRDefault="007E7D5F" w:rsidP="00A30349">
      <w:pPr>
        <w:spacing w:before="200"/>
        <w:rPr>
          <w:rFonts w:eastAsiaTheme="minorEastAsia"/>
        </w:rPr>
      </w:pPr>
      <w:r>
        <w:rPr>
          <w:rFonts w:eastAsiaTheme="minorEastAsia"/>
        </w:rPr>
        <w:t xml:space="preserve">Full paper: </w:t>
      </w:r>
      <w:hyperlink r:id="rId10" w:history="1">
        <w:r w:rsidRPr="007E7D5F">
          <w:rPr>
            <w:rStyle w:val="Hyperlink"/>
            <w:rFonts w:eastAsiaTheme="minorEastAsia"/>
          </w:rPr>
          <w:t>Laboratory confirmed vaccine-induced immune thrombotic thrombocytopenia: Retrospective analysis of reported cases after vaccination with ChAdOx-1 nCoV-19 in Germany</w:t>
        </w:r>
      </w:hyperlink>
    </w:p>
    <w:p w:rsidR="007E7D5F" w:rsidRDefault="007E7D5F" w:rsidP="00A30349">
      <w:pPr>
        <w:spacing w:before="200"/>
        <w:rPr>
          <w:rFonts w:eastAsiaTheme="minorEastAsia"/>
        </w:rPr>
      </w:pPr>
    </w:p>
    <w:p w:rsidR="00391554" w:rsidRDefault="006B3290" w:rsidP="00A30349">
      <w:pPr>
        <w:spacing w:before="200"/>
        <w:rPr>
          <w:rFonts w:eastAsiaTheme="minorEastAsia"/>
        </w:rPr>
      </w:pPr>
      <w:r>
        <w:rPr>
          <w:rStyle w:val="Hyperlink"/>
          <w:rFonts w:eastAsiaTheme="minorEastAsia"/>
        </w:rPr>
        <w:br/>
      </w:r>
    </w:p>
    <w:p w:rsidR="007E4F47" w:rsidRDefault="007E4F47" w:rsidP="00A30349">
      <w:pPr>
        <w:spacing w:before="200"/>
        <w:rPr>
          <w:rFonts w:eastAsiaTheme="minorEastAsia"/>
        </w:rPr>
      </w:pPr>
    </w:p>
    <w:p w:rsidR="002F29D4" w:rsidRPr="00785978" w:rsidRDefault="002F29D4" w:rsidP="002F29D4">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Cs/>
          <w:caps/>
          <w:color w:val="FFFFFF" w:themeColor="background1"/>
          <w:spacing w:val="15"/>
        </w:rPr>
      </w:pPr>
      <w:r w:rsidRPr="00785978">
        <w:rPr>
          <w:rFonts w:ascii="Dotum" w:eastAsiaTheme="minorEastAsia" w:hAnsi="Dotum"/>
          <w:bCs/>
          <w:caps/>
          <w:color w:val="FFFFFF" w:themeColor="background1"/>
          <w:spacing w:val="15"/>
        </w:rPr>
        <w:t>recovery</w:t>
      </w:r>
    </w:p>
    <w:p w:rsidR="007E4F47" w:rsidRDefault="00A30349" w:rsidP="007E4F47">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00030E21">
        <w:rPr>
          <w:rFonts w:eastAsiaTheme="minorEastAsia"/>
          <w:b/>
          <w:caps/>
          <w:spacing w:val="15"/>
        </w:rPr>
        <w:t xml:space="preserve">: </w:t>
      </w:r>
      <w:r w:rsidR="00030E21" w:rsidRPr="00030E21">
        <w:rPr>
          <w:rFonts w:eastAsiaTheme="minorEastAsia"/>
          <w:caps/>
          <w:spacing w:val="15"/>
        </w:rPr>
        <w:t>Assessing the Global Burden of Post-COVID-19 Conditions</w:t>
      </w:r>
    </w:p>
    <w:p w:rsidR="00030E21" w:rsidRDefault="00030E21" w:rsidP="00030E21">
      <w:pPr>
        <w:spacing w:before="200"/>
        <w:rPr>
          <w:rFonts w:eastAsiaTheme="minorEastAsia"/>
        </w:rPr>
      </w:pPr>
      <w:r w:rsidRPr="00030E21">
        <w:rPr>
          <w:rFonts w:eastAsiaTheme="minorEastAsia"/>
        </w:rPr>
        <w:t>The IQVIA Institute</w:t>
      </w:r>
      <w:r>
        <w:rPr>
          <w:rFonts w:eastAsiaTheme="minorEastAsia"/>
        </w:rPr>
        <w:t xml:space="preserve"> | 6</w:t>
      </w:r>
      <w:r w:rsidRPr="00030E21">
        <w:rPr>
          <w:rFonts w:eastAsiaTheme="minorEastAsia"/>
          <w:vertAlign w:val="superscript"/>
        </w:rPr>
        <w:t>th</w:t>
      </w:r>
      <w:r>
        <w:rPr>
          <w:rFonts w:eastAsiaTheme="minorEastAsia"/>
        </w:rPr>
        <w:t xml:space="preserve"> December 2021</w:t>
      </w:r>
    </w:p>
    <w:p w:rsidR="00030E21" w:rsidRPr="00030E21" w:rsidRDefault="00030E21" w:rsidP="00030E21">
      <w:pPr>
        <w:spacing w:before="200"/>
        <w:rPr>
          <w:rFonts w:eastAsiaTheme="minorEastAsia"/>
        </w:rPr>
      </w:pPr>
      <w:r w:rsidRPr="00030E21">
        <w:rPr>
          <w:rFonts w:eastAsiaTheme="minorEastAsia"/>
        </w:rPr>
        <w:t>As the number of reported cases of Covid-19 exceeds 250 million globally and deaths exceed 5 million, there is growing awareness and concern about those who suffer long-term conditions that appear to be associated with the virus. These long-term conditions are likely to impose a large burden on the health care system. The objective of the research reflected in this report is to quantify the magnitude of patients with post-Covid-19 conditions based on analysis of medical open claims data and a review of the growing body of literature globally. </w:t>
      </w:r>
    </w:p>
    <w:p w:rsidR="00007442" w:rsidRDefault="00030E21" w:rsidP="006A0DAD">
      <w:pPr>
        <w:spacing w:before="200"/>
        <w:rPr>
          <w:rFonts w:eastAsiaTheme="minorEastAsia"/>
        </w:rPr>
      </w:pPr>
      <w:r w:rsidRPr="00030E21">
        <w:rPr>
          <w:rFonts w:eastAsiaTheme="minorEastAsia"/>
        </w:rPr>
        <w:t xml:space="preserve">The research also models the potential demand for medicines required to treat these patients with the post-COVID conditions, even as optimal treatment for these patients </w:t>
      </w:r>
      <w:proofErr w:type="gramStart"/>
      <w:r w:rsidRPr="00030E21">
        <w:rPr>
          <w:rFonts w:eastAsiaTheme="minorEastAsia"/>
        </w:rPr>
        <w:t>is currently based</w:t>
      </w:r>
      <w:proofErr w:type="gramEnd"/>
      <w:r w:rsidRPr="00030E21">
        <w:rPr>
          <w:rFonts w:eastAsiaTheme="minorEastAsia"/>
        </w:rPr>
        <w:t xml:space="preserve"> on existing therapeutics.</w:t>
      </w:r>
      <w:r w:rsidR="00107149">
        <w:rPr>
          <w:rFonts w:eastAsiaTheme="minorEastAsia"/>
        </w:rPr>
        <w:t xml:space="preserve"> </w:t>
      </w:r>
    </w:p>
    <w:p w:rsidR="006A0DAD" w:rsidRDefault="00030E21" w:rsidP="006A0DAD">
      <w:pPr>
        <w:spacing w:before="200"/>
        <w:rPr>
          <w:rFonts w:eastAsiaTheme="minorEastAsia"/>
        </w:rPr>
      </w:pPr>
      <w:r>
        <w:rPr>
          <w:rFonts w:eastAsiaTheme="minorEastAsia"/>
        </w:rPr>
        <w:t xml:space="preserve">Full detail: </w:t>
      </w:r>
      <w:hyperlink r:id="rId11" w:history="1">
        <w:r w:rsidRPr="00030E21">
          <w:rPr>
            <w:rStyle w:val="Hyperlink"/>
            <w:rFonts w:eastAsiaTheme="minorEastAsia"/>
          </w:rPr>
          <w:t>Assessing the global burden of post-COVID-19 conditions</w:t>
        </w:r>
      </w:hyperlink>
      <w:r w:rsidR="00107149">
        <w:rPr>
          <w:rStyle w:val="Hyperlink"/>
          <w:rFonts w:eastAsiaTheme="minorEastAsia"/>
        </w:rPr>
        <w:br/>
      </w:r>
    </w:p>
    <w:p w:rsidR="007E4F47" w:rsidRDefault="00A30349" w:rsidP="007E4F47">
      <w:pPr>
        <w:pBdr>
          <w:top w:val="single" w:sz="6" w:space="2" w:color="D4802C"/>
          <w:left w:val="single" w:sz="6" w:space="2" w:color="D4802C"/>
        </w:pBdr>
        <w:spacing w:before="300"/>
        <w:outlineLvl w:val="2"/>
        <w:rPr>
          <w:rStyle w:val="Hyperlink"/>
          <w:rFonts w:eastAsiaTheme="minorEastAsia"/>
          <w:bCs/>
        </w:rPr>
      </w:pPr>
      <w:r w:rsidRPr="00D6477B">
        <w:rPr>
          <w:rFonts w:eastAsiaTheme="minorEastAsia"/>
          <w:b/>
          <w:caps/>
          <w:spacing w:val="15"/>
        </w:rPr>
        <w:t>Title:</w:t>
      </w:r>
      <w:r w:rsidRPr="00D6477B">
        <w:rPr>
          <w:rFonts w:eastAsiaTheme="minorEastAsia"/>
          <w:caps/>
          <w:spacing w:val="15"/>
        </w:rPr>
        <w:t xml:space="preserve"> </w:t>
      </w:r>
      <w:r w:rsidR="00107149" w:rsidRPr="00107149">
        <w:rPr>
          <w:rFonts w:eastAsiaTheme="minorEastAsia"/>
          <w:caps/>
          <w:spacing w:val="15"/>
        </w:rPr>
        <w:t>Tackling population health challenges as we build back from the pandemic</w:t>
      </w:r>
    </w:p>
    <w:p w:rsidR="00107149" w:rsidRDefault="00107149" w:rsidP="00107149">
      <w:pPr>
        <w:spacing w:before="200"/>
        <w:rPr>
          <w:rFonts w:ascii="Helvetica" w:eastAsia="Times New Roman" w:hAnsi="Helvetica" w:cs="Times New Roman"/>
          <w:color w:val="333333"/>
          <w:sz w:val="27"/>
          <w:szCs w:val="27"/>
          <w:lang w:eastAsia="en-GB"/>
        </w:rPr>
      </w:pPr>
      <w:r w:rsidRPr="00107149">
        <w:rPr>
          <w:rFonts w:eastAsiaTheme="minorEastAsia"/>
        </w:rPr>
        <w:t xml:space="preserve">BMJ </w:t>
      </w:r>
      <w:r>
        <w:rPr>
          <w:rFonts w:eastAsiaTheme="minorEastAsia"/>
        </w:rPr>
        <w:t xml:space="preserve">| </w:t>
      </w:r>
      <w:r w:rsidRPr="00107149">
        <w:rPr>
          <w:rFonts w:eastAsiaTheme="minorEastAsia"/>
        </w:rPr>
        <w:t>2021;</w:t>
      </w:r>
      <w:r>
        <w:rPr>
          <w:rFonts w:eastAsiaTheme="minorEastAsia"/>
        </w:rPr>
        <w:t xml:space="preserve"> </w:t>
      </w:r>
      <w:r w:rsidRPr="00107149">
        <w:rPr>
          <w:rFonts w:eastAsiaTheme="minorEastAsia"/>
        </w:rPr>
        <w:t>375:</w:t>
      </w:r>
      <w:r>
        <w:rPr>
          <w:rFonts w:eastAsiaTheme="minorEastAsia"/>
        </w:rPr>
        <w:t xml:space="preserve"> </w:t>
      </w:r>
      <w:r w:rsidRPr="00107149">
        <w:rPr>
          <w:rFonts w:eastAsiaTheme="minorEastAsia"/>
        </w:rPr>
        <w:t>e066232</w:t>
      </w:r>
      <w:r>
        <w:rPr>
          <w:rFonts w:eastAsiaTheme="minorEastAsia"/>
        </w:rPr>
        <w:t xml:space="preserve"> | 7</w:t>
      </w:r>
      <w:r w:rsidRPr="00107149">
        <w:rPr>
          <w:rFonts w:eastAsiaTheme="minorEastAsia"/>
          <w:vertAlign w:val="superscript"/>
        </w:rPr>
        <w:t>th</w:t>
      </w:r>
      <w:r>
        <w:rPr>
          <w:rFonts w:eastAsiaTheme="minorEastAsia"/>
        </w:rPr>
        <w:t xml:space="preserve"> December 2021</w:t>
      </w:r>
      <w:r w:rsidRPr="00107149">
        <w:rPr>
          <w:rFonts w:ascii="Helvetica" w:eastAsia="Times New Roman" w:hAnsi="Helvetica" w:cs="Times New Roman"/>
          <w:color w:val="333333"/>
          <w:sz w:val="27"/>
          <w:szCs w:val="27"/>
          <w:lang w:eastAsia="en-GB"/>
        </w:rPr>
        <w:t xml:space="preserve"> </w:t>
      </w:r>
    </w:p>
    <w:p w:rsidR="00107149" w:rsidRDefault="00107149" w:rsidP="00107149">
      <w:pPr>
        <w:spacing w:before="200"/>
        <w:rPr>
          <w:rFonts w:eastAsiaTheme="minorEastAsia"/>
          <w:bCs/>
        </w:rPr>
      </w:pPr>
      <w:r>
        <w:rPr>
          <w:rFonts w:eastAsiaTheme="minorEastAsia"/>
          <w:bCs/>
        </w:rPr>
        <w:t>This BMJ analysis argues that</w:t>
      </w:r>
      <w:r w:rsidRPr="00107149">
        <w:rPr>
          <w:rFonts w:eastAsiaTheme="minorEastAsia"/>
          <w:bCs/>
        </w:rPr>
        <w:t xml:space="preserve"> a new model of equitable, holistic, and sustainable public health should be central to recovery plans</w:t>
      </w:r>
    </w:p>
    <w:p w:rsidR="00107149" w:rsidRPr="00107149" w:rsidRDefault="00107149" w:rsidP="00107149">
      <w:pPr>
        <w:spacing w:before="200"/>
        <w:rPr>
          <w:rFonts w:eastAsiaTheme="minorEastAsia"/>
          <w:bCs/>
        </w:rPr>
      </w:pPr>
      <w:r w:rsidRPr="00107149">
        <w:rPr>
          <w:rFonts w:eastAsiaTheme="minorEastAsia"/>
          <w:bCs/>
        </w:rPr>
        <w:t>Key messages</w:t>
      </w:r>
      <w:r>
        <w:rPr>
          <w:rFonts w:eastAsiaTheme="minorEastAsia"/>
          <w:bCs/>
        </w:rPr>
        <w:t>:</w:t>
      </w:r>
    </w:p>
    <w:p w:rsidR="00107149" w:rsidRPr="00107149" w:rsidRDefault="00107149" w:rsidP="00107149">
      <w:pPr>
        <w:numPr>
          <w:ilvl w:val="0"/>
          <w:numId w:val="11"/>
        </w:numPr>
        <w:spacing w:before="200"/>
        <w:rPr>
          <w:rFonts w:eastAsiaTheme="minorEastAsia"/>
        </w:rPr>
      </w:pPr>
      <w:r w:rsidRPr="00107149">
        <w:rPr>
          <w:rFonts w:eastAsiaTheme="minorEastAsia"/>
        </w:rPr>
        <w:t>A decade of austerity, stalled mortality trends, widening health inequalities, and climate change present profound health challenges that predate the pandemic</w:t>
      </w:r>
    </w:p>
    <w:p w:rsidR="00107149" w:rsidRPr="00107149" w:rsidRDefault="00107149" w:rsidP="00107149">
      <w:pPr>
        <w:numPr>
          <w:ilvl w:val="0"/>
          <w:numId w:val="11"/>
        </w:numPr>
        <w:spacing w:before="200"/>
        <w:rPr>
          <w:rFonts w:eastAsiaTheme="minorEastAsia"/>
        </w:rPr>
      </w:pPr>
      <w:r w:rsidRPr="00107149">
        <w:rPr>
          <w:rFonts w:eastAsiaTheme="minorEastAsia"/>
        </w:rPr>
        <w:t>The pandemic has shown that population health in the UK is insecure</w:t>
      </w:r>
    </w:p>
    <w:p w:rsidR="00107149" w:rsidRPr="00107149" w:rsidRDefault="00107149" w:rsidP="00107149">
      <w:pPr>
        <w:numPr>
          <w:ilvl w:val="0"/>
          <w:numId w:val="11"/>
        </w:numPr>
        <w:spacing w:before="200"/>
        <w:rPr>
          <w:rFonts w:eastAsiaTheme="minorEastAsia"/>
        </w:rPr>
      </w:pPr>
      <w:r w:rsidRPr="00107149">
        <w:rPr>
          <w:rFonts w:eastAsiaTheme="minorEastAsia"/>
        </w:rPr>
        <w:t>It has created additional challenges from ongoing covid-19, unmet health and social care needs, and social and economic disruption</w:t>
      </w:r>
    </w:p>
    <w:p w:rsidR="00107149" w:rsidRDefault="00107149" w:rsidP="00107149">
      <w:pPr>
        <w:numPr>
          <w:ilvl w:val="0"/>
          <w:numId w:val="11"/>
        </w:numPr>
        <w:spacing w:before="200"/>
        <w:rPr>
          <w:rFonts w:eastAsiaTheme="minorEastAsia"/>
        </w:rPr>
      </w:pPr>
      <w:r w:rsidRPr="00107149">
        <w:rPr>
          <w:rFonts w:eastAsiaTheme="minorEastAsia"/>
        </w:rPr>
        <w:t>A radical shift in the government’s approach to population health is needed, integrating equity and health in all policies, and shifting to a wellbeing economy</w:t>
      </w:r>
    </w:p>
    <w:p w:rsidR="00107149" w:rsidRPr="00107149" w:rsidRDefault="00107149" w:rsidP="00107149">
      <w:pPr>
        <w:spacing w:before="200"/>
        <w:rPr>
          <w:rFonts w:eastAsiaTheme="minorEastAsia"/>
        </w:rPr>
      </w:pPr>
      <w:r>
        <w:rPr>
          <w:rFonts w:eastAsiaTheme="minorEastAsia"/>
        </w:rPr>
        <w:t xml:space="preserve">Full detail: </w:t>
      </w:r>
      <w:hyperlink r:id="rId12" w:history="1">
        <w:r w:rsidRPr="00107149">
          <w:rPr>
            <w:rStyle w:val="Hyperlink"/>
            <w:rFonts w:eastAsiaTheme="minorEastAsia"/>
          </w:rPr>
          <w:t>Tackling population health challenges as we build back from the pandemic</w:t>
        </w:r>
      </w:hyperlink>
    </w:p>
    <w:p w:rsidR="00107149" w:rsidRDefault="00107149" w:rsidP="00A30349">
      <w:pPr>
        <w:spacing w:before="200"/>
        <w:rPr>
          <w:rFonts w:eastAsiaTheme="minorEastAsia"/>
        </w:rPr>
      </w:pPr>
    </w:p>
    <w:p w:rsidR="00B7513F" w:rsidRPr="00F9499F" w:rsidRDefault="006B3290" w:rsidP="00B7513F">
      <w:pPr>
        <w:spacing w:before="200"/>
        <w:rPr>
          <w:rFonts w:eastAsiaTheme="minorEastAsia"/>
          <w:bCs/>
          <w:color w:val="0000FF" w:themeColor="hyperlink"/>
          <w:u w:val="single"/>
        </w:rPr>
      </w:pPr>
      <w:r>
        <w:rPr>
          <w:rStyle w:val="Hyperlink"/>
          <w:rFonts w:eastAsiaTheme="minorEastAsia"/>
          <w:bCs/>
        </w:rPr>
        <w:br/>
      </w:r>
    </w:p>
    <w:p w:rsidR="00B5385F" w:rsidRPr="00785978" w:rsidRDefault="00B5385F" w:rsidP="00B5385F">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Cs/>
          <w:caps/>
          <w:color w:val="FFFFFF" w:themeColor="background1"/>
          <w:spacing w:val="15"/>
        </w:rPr>
      </w:pPr>
      <w:r w:rsidRPr="00785978">
        <w:rPr>
          <w:rFonts w:ascii="Dotum" w:eastAsiaTheme="minorEastAsia" w:hAnsi="Dotum"/>
          <w:bCs/>
          <w:caps/>
          <w:color w:val="FFFFFF" w:themeColor="background1"/>
          <w:spacing w:val="15"/>
        </w:rPr>
        <w:t>Infection control</w:t>
      </w:r>
    </w:p>
    <w:p w:rsidR="007E4F47" w:rsidRPr="00A964DA" w:rsidRDefault="00A30349" w:rsidP="007E4F47">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3121CE" w:rsidRPr="003121CE">
        <w:rPr>
          <w:rFonts w:eastAsiaTheme="minorEastAsia"/>
          <w:caps/>
          <w:spacing w:val="15"/>
        </w:rPr>
        <w:t>What you need to know about the new Omicron COVID-19 variant</w:t>
      </w:r>
      <w:r w:rsidR="000868BA">
        <w:rPr>
          <w:rFonts w:eastAsiaTheme="minorEastAsia"/>
          <w:caps/>
          <w:spacing w:val="15"/>
        </w:rPr>
        <w:t xml:space="preserve"> [world health organization]</w:t>
      </w:r>
    </w:p>
    <w:p w:rsidR="005532A3" w:rsidRDefault="000868BA" w:rsidP="005532A3">
      <w:pPr>
        <w:spacing w:before="200"/>
        <w:rPr>
          <w:rFonts w:eastAsiaTheme="minorEastAsia"/>
        </w:rPr>
      </w:pPr>
      <w:r>
        <w:rPr>
          <w:rFonts w:eastAsiaTheme="minorEastAsia"/>
        </w:rPr>
        <w:t>World Health Organization | 3</w:t>
      </w:r>
      <w:r w:rsidRPr="000868BA">
        <w:rPr>
          <w:rFonts w:eastAsiaTheme="minorEastAsia"/>
          <w:vertAlign w:val="superscript"/>
        </w:rPr>
        <w:t>rd</w:t>
      </w:r>
      <w:r>
        <w:rPr>
          <w:rFonts w:eastAsiaTheme="minorEastAsia"/>
        </w:rPr>
        <w:t xml:space="preserve"> December 2021</w:t>
      </w:r>
    </w:p>
    <w:p w:rsidR="000868BA" w:rsidRPr="000868BA" w:rsidRDefault="000868BA" w:rsidP="000868BA">
      <w:pPr>
        <w:spacing w:before="200"/>
        <w:rPr>
          <w:rFonts w:eastAsiaTheme="minorEastAsia"/>
        </w:rPr>
      </w:pPr>
      <w:r w:rsidRPr="000868BA">
        <w:rPr>
          <w:rFonts w:eastAsiaTheme="minorEastAsia"/>
        </w:rPr>
        <w:t xml:space="preserve">On 26 November, </w:t>
      </w:r>
      <w:proofErr w:type="gramStart"/>
      <w:r w:rsidRPr="000868BA">
        <w:rPr>
          <w:rFonts w:eastAsiaTheme="minorEastAsia"/>
        </w:rPr>
        <w:t>WHO’s</w:t>
      </w:r>
      <w:proofErr w:type="gramEnd"/>
      <w:r w:rsidRPr="000868BA">
        <w:rPr>
          <w:rFonts w:eastAsiaTheme="minorEastAsia"/>
        </w:rPr>
        <w:t xml:space="preserve"> Technical Advisory Group on SARS-CoV-2 Virus Evolution (TAG-VE) designated the B.1.1.529 variant, first reported by South Africa 2 days earlier, as a variant of concern, named Omicron.</w:t>
      </w:r>
    </w:p>
    <w:p w:rsidR="000868BA" w:rsidRDefault="000868BA" w:rsidP="005532A3">
      <w:pPr>
        <w:spacing w:before="200"/>
        <w:rPr>
          <w:rFonts w:eastAsiaTheme="minorEastAsia"/>
        </w:rPr>
      </w:pPr>
      <w:r>
        <w:rPr>
          <w:rFonts w:eastAsiaTheme="minorEastAsia"/>
        </w:rPr>
        <w:t xml:space="preserve">This article looks at Omicron, asking: </w:t>
      </w:r>
    </w:p>
    <w:p w:rsidR="000868BA" w:rsidRDefault="000868BA" w:rsidP="000868BA">
      <w:pPr>
        <w:pStyle w:val="ListParagraph"/>
        <w:numPr>
          <w:ilvl w:val="0"/>
          <w:numId w:val="6"/>
        </w:numPr>
        <w:spacing w:before="200"/>
        <w:rPr>
          <w:rFonts w:eastAsiaTheme="minorEastAsia"/>
        </w:rPr>
      </w:pPr>
      <w:r w:rsidRPr="000868BA">
        <w:rPr>
          <w:rFonts w:eastAsiaTheme="minorEastAsia"/>
        </w:rPr>
        <w:t>Why is Omicron a variant of concern?</w:t>
      </w:r>
    </w:p>
    <w:p w:rsidR="000868BA" w:rsidRDefault="000868BA" w:rsidP="000868BA">
      <w:pPr>
        <w:pStyle w:val="ListParagraph"/>
        <w:numPr>
          <w:ilvl w:val="0"/>
          <w:numId w:val="6"/>
        </w:numPr>
        <w:spacing w:before="200"/>
        <w:rPr>
          <w:rFonts w:eastAsiaTheme="minorEastAsia"/>
        </w:rPr>
      </w:pPr>
      <w:r w:rsidRPr="000868BA">
        <w:rPr>
          <w:rFonts w:eastAsiaTheme="minorEastAsia"/>
        </w:rPr>
        <w:t xml:space="preserve">What do we know about the variant </w:t>
      </w:r>
      <w:proofErr w:type="gramStart"/>
      <w:r w:rsidRPr="000868BA">
        <w:rPr>
          <w:rFonts w:eastAsiaTheme="minorEastAsia"/>
        </w:rPr>
        <w:t>at the moment</w:t>
      </w:r>
      <w:proofErr w:type="gramEnd"/>
      <w:r w:rsidRPr="000868BA">
        <w:rPr>
          <w:rFonts w:eastAsiaTheme="minorEastAsia"/>
        </w:rPr>
        <w:t>?</w:t>
      </w:r>
    </w:p>
    <w:p w:rsidR="000868BA" w:rsidRDefault="000868BA" w:rsidP="000868BA">
      <w:pPr>
        <w:pStyle w:val="ListParagraph"/>
        <w:numPr>
          <w:ilvl w:val="0"/>
          <w:numId w:val="6"/>
        </w:numPr>
        <w:spacing w:before="200"/>
        <w:rPr>
          <w:rFonts w:eastAsiaTheme="minorEastAsia"/>
        </w:rPr>
      </w:pPr>
      <w:r w:rsidRPr="000868BA">
        <w:rPr>
          <w:rFonts w:eastAsiaTheme="minorEastAsia"/>
        </w:rPr>
        <w:t>What can we do as individuals to stop the virus circulating?</w:t>
      </w:r>
    </w:p>
    <w:p w:rsidR="000868BA" w:rsidRDefault="000868BA" w:rsidP="000868BA">
      <w:pPr>
        <w:pStyle w:val="ListParagraph"/>
        <w:numPr>
          <w:ilvl w:val="0"/>
          <w:numId w:val="6"/>
        </w:numPr>
        <w:spacing w:before="200"/>
        <w:rPr>
          <w:rFonts w:eastAsiaTheme="minorEastAsia"/>
        </w:rPr>
      </w:pPr>
      <w:proofErr w:type="gramStart"/>
      <w:r w:rsidRPr="000868BA">
        <w:rPr>
          <w:rFonts w:eastAsiaTheme="minorEastAsia"/>
        </w:rPr>
        <w:t>What can governments and authorities do?</w:t>
      </w:r>
      <w:proofErr w:type="gramEnd"/>
    </w:p>
    <w:p w:rsidR="000868BA" w:rsidRDefault="000868BA" w:rsidP="000868BA">
      <w:pPr>
        <w:pStyle w:val="ListParagraph"/>
        <w:numPr>
          <w:ilvl w:val="0"/>
          <w:numId w:val="6"/>
        </w:numPr>
        <w:spacing w:before="200"/>
        <w:rPr>
          <w:rFonts w:eastAsiaTheme="minorEastAsia"/>
        </w:rPr>
      </w:pPr>
      <w:r w:rsidRPr="000868BA">
        <w:rPr>
          <w:rFonts w:eastAsiaTheme="minorEastAsia"/>
        </w:rPr>
        <w:t>What is WHO doing in response to Omicron?</w:t>
      </w:r>
    </w:p>
    <w:p w:rsidR="000868BA" w:rsidRDefault="000868BA" w:rsidP="000868BA">
      <w:pPr>
        <w:spacing w:before="200"/>
        <w:rPr>
          <w:rFonts w:eastAsiaTheme="minorEastAsia"/>
        </w:rPr>
      </w:pPr>
      <w:r>
        <w:rPr>
          <w:rFonts w:eastAsiaTheme="minorEastAsia"/>
        </w:rPr>
        <w:t xml:space="preserve">Full detail: </w:t>
      </w:r>
      <w:hyperlink r:id="rId13" w:history="1">
        <w:r w:rsidRPr="000868BA">
          <w:rPr>
            <w:rStyle w:val="Hyperlink"/>
            <w:rFonts w:eastAsiaTheme="minorEastAsia"/>
          </w:rPr>
          <w:t>What you need to know about the new Omicron COVID-19 variant</w:t>
        </w:r>
      </w:hyperlink>
      <w:r w:rsidR="00E7250F">
        <w:rPr>
          <w:rStyle w:val="Hyperlink"/>
          <w:rFonts w:eastAsiaTheme="minorEastAsia"/>
        </w:rPr>
        <w:br/>
      </w:r>
    </w:p>
    <w:p w:rsidR="007E4F47" w:rsidRDefault="00A30349" w:rsidP="007E4F47">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0868BA" w:rsidRPr="000868BA">
        <w:rPr>
          <w:rFonts w:eastAsiaTheme="minorEastAsia"/>
          <w:caps/>
          <w:spacing w:val="15"/>
        </w:rPr>
        <w:t>Immunogenicity, safety, and reactogenicity of heterologous COVID-19 primary vaccination incorporating mRNA, viral-vector, and protein-adjuvant vaccines in the UK (Com-COV2): a single-blind, randomised, phase 2, non-inferiority trial</w:t>
      </w:r>
    </w:p>
    <w:p w:rsidR="00BB0496" w:rsidRDefault="000868BA" w:rsidP="00A30349">
      <w:pPr>
        <w:spacing w:before="200"/>
        <w:rPr>
          <w:rFonts w:eastAsiaTheme="minorEastAsia"/>
        </w:rPr>
      </w:pPr>
      <w:r>
        <w:rPr>
          <w:rFonts w:eastAsiaTheme="minorEastAsia"/>
        </w:rPr>
        <w:t>The Lancet | 6</w:t>
      </w:r>
      <w:r w:rsidRPr="000868BA">
        <w:rPr>
          <w:rFonts w:eastAsiaTheme="minorEastAsia"/>
          <w:vertAlign w:val="superscript"/>
        </w:rPr>
        <w:t>th</w:t>
      </w:r>
      <w:r>
        <w:rPr>
          <w:rFonts w:eastAsiaTheme="minorEastAsia"/>
        </w:rPr>
        <w:t xml:space="preserve"> December 2021</w:t>
      </w:r>
    </w:p>
    <w:p w:rsidR="000868BA" w:rsidRPr="000868BA" w:rsidRDefault="000868BA" w:rsidP="000868BA">
      <w:pPr>
        <w:spacing w:before="200"/>
        <w:rPr>
          <w:rFonts w:eastAsiaTheme="minorEastAsia"/>
        </w:rPr>
      </w:pPr>
      <w:r w:rsidRPr="000868BA">
        <w:rPr>
          <w:rFonts w:eastAsiaTheme="minorEastAsia"/>
        </w:rPr>
        <w:t>Given the importance of flexible use of different COVID-19 vaccines within the same schedule to</w:t>
      </w:r>
      <w:r>
        <w:rPr>
          <w:rFonts w:eastAsiaTheme="minorEastAsia"/>
        </w:rPr>
        <w:t xml:space="preserve"> facilitate rapid deployment, this paper</w:t>
      </w:r>
      <w:r w:rsidRPr="000868BA">
        <w:rPr>
          <w:rFonts w:eastAsiaTheme="minorEastAsia"/>
        </w:rPr>
        <w:t xml:space="preserve"> studied mixed priming schedules incorporating an adenoviral-vectored vaccine (ChAdOx1 nCoV-19 [</w:t>
      </w:r>
      <w:proofErr w:type="spellStart"/>
      <w:r w:rsidRPr="000868BA">
        <w:rPr>
          <w:rFonts w:eastAsiaTheme="minorEastAsia"/>
        </w:rPr>
        <w:t>ChAd</w:t>
      </w:r>
      <w:proofErr w:type="spellEnd"/>
      <w:r w:rsidRPr="000868BA">
        <w:rPr>
          <w:rFonts w:eastAsiaTheme="minorEastAsia"/>
        </w:rPr>
        <w:t>], AstraZeneca), two mRNA vaccines (BNT162b2 [BNT], Pfizer–</w:t>
      </w:r>
      <w:proofErr w:type="spellStart"/>
      <w:r w:rsidRPr="000868BA">
        <w:rPr>
          <w:rFonts w:eastAsiaTheme="minorEastAsia"/>
        </w:rPr>
        <w:t>BioNTech</w:t>
      </w:r>
      <w:proofErr w:type="spellEnd"/>
      <w:r w:rsidRPr="000868BA">
        <w:rPr>
          <w:rFonts w:eastAsiaTheme="minorEastAsia"/>
        </w:rPr>
        <w:t xml:space="preserve">, and mRNA-1273 [m1273], </w:t>
      </w:r>
      <w:proofErr w:type="spellStart"/>
      <w:r w:rsidRPr="000868BA">
        <w:rPr>
          <w:rFonts w:eastAsiaTheme="minorEastAsia"/>
        </w:rPr>
        <w:t>Moderna</w:t>
      </w:r>
      <w:proofErr w:type="spellEnd"/>
      <w:r w:rsidRPr="000868BA">
        <w:rPr>
          <w:rFonts w:eastAsiaTheme="minorEastAsia"/>
        </w:rPr>
        <w:t xml:space="preserve">) and a nanoparticle vaccine containing SARS-CoV-2 spike glycoprotein and Matrix-M adjuvant (NVX-CoV2373 [NVX], </w:t>
      </w:r>
      <w:proofErr w:type="spellStart"/>
      <w:r w:rsidRPr="000868BA">
        <w:rPr>
          <w:rFonts w:eastAsiaTheme="minorEastAsia"/>
        </w:rPr>
        <w:t>Novavax</w:t>
      </w:r>
      <w:proofErr w:type="spellEnd"/>
      <w:r w:rsidRPr="000868BA">
        <w:rPr>
          <w:rFonts w:eastAsiaTheme="minorEastAsia"/>
        </w:rPr>
        <w:t>).</w:t>
      </w:r>
    </w:p>
    <w:p w:rsidR="000868BA" w:rsidRPr="000868BA" w:rsidRDefault="000868BA" w:rsidP="000868BA">
      <w:pPr>
        <w:spacing w:before="200"/>
        <w:rPr>
          <w:rFonts w:eastAsiaTheme="minorEastAsia"/>
        </w:rPr>
      </w:pPr>
      <w:r w:rsidRPr="000868BA">
        <w:rPr>
          <w:rFonts w:eastAsiaTheme="minorEastAsia"/>
        </w:rPr>
        <w:t xml:space="preserve">Heterologous second dosing with m1273, but not NVX, increased transient systemic </w:t>
      </w:r>
      <w:proofErr w:type="spellStart"/>
      <w:r w:rsidRPr="000868BA">
        <w:rPr>
          <w:rFonts w:eastAsiaTheme="minorEastAsia"/>
        </w:rPr>
        <w:t>reactogenicity</w:t>
      </w:r>
      <w:proofErr w:type="spellEnd"/>
      <w:r w:rsidRPr="000868BA">
        <w:rPr>
          <w:rFonts w:eastAsiaTheme="minorEastAsia"/>
        </w:rPr>
        <w:t xml:space="preserve"> compared with homologous schedules. Multiple vaccines are appropriate to complete primary immunisation following priming with BNT or </w:t>
      </w:r>
      <w:proofErr w:type="spellStart"/>
      <w:r w:rsidRPr="000868BA">
        <w:rPr>
          <w:rFonts w:eastAsiaTheme="minorEastAsia"/>
        </w:rPr>
        <w:t>ChAd</w:t>
      </w:r>
      <w:proofErr w:type="spellEnd"/>
      <w:r w:rsidRPr="000868BA">
        <w:rPr>
          <w:rFonts w:eastAsiaTheme="minorEastAsia"/>
        </w:rPr>
        <w:t>, facilitating rapid vaccine deployment globally and supporting recognition of such schedules for vaccine certification.</w:t>
      </w:r>
    </w:p>
    <w:p w:rsidR="000868BA" w:rsidRDefault="000868BA" w:rsidP="00A30349">
      <w:pPr>
        <w:spacing w:before="200"/>
        <w:rPr>
          <w:rFonts w:eastAsiaTheme="minorEastAsia"/>
        </w:rPr>
      </w:pPr>
      <w:r>
        <w:rPr>
          <w:rFonts w:eastAsiaTheme="minorEastAsia"/>
        </w:rPr>
        <w:t xml:space="preserve">Full paper: </w:t>
      </w:r>
      <w:hyperlink r:id="rId14" w:history="1">
        <w:r w:rsidRPr="000868BA">
          <w:rPr>
            <w:rStyle w:val="Hyperlink"/>
            <w:rFonts w:eastAsiaTheme="minorEastAsia"/>
          </w:rPr>
          <w:t xml:space="preserve">Immunogenicity, safety, and </w:t>
        </w:r>
        <w:proofErr w:type="spellStart"/>
        <w:r w:rsidRPr="000868BA">
          <w:rPr>
            <w:rStyle w:val="Hyperlink"/>
            <w:rFonts w:eastAsiaTheme="minorEastAsia"/>
          </w:rPr>
          <w:t>reactogenicity</w:t>
        </w:r>
        <w:proofErr w:type="spellEnd"/>
        <w:r w:rsidRPr="000868BA">
          <w:rPr>
            <w:rStyle w:val="Hyperlink"/>
            <w:rFonts w:eastAsiaTheme="minorEastAsia"/>
          </w:rPr>
          <w:t xml:space="preserve"> of heterologous COVID-19 primary vaccination incorporating mRNA, viral-vector, and protein-adjuvant vaccines in the UK (Com-COV2): a </w:t>
        </w:r>
        <w:proofErr w:type="gramStart"/>
        <w:r w:rsidRPr="000868BA">
          <w:rPr>
            <w:rStyle w:val="Hyperlink"/>
            <w:rFonts w:eastAsiaTheme="minorEastAsia"/>
          </w:rPr>
          <w:t>single-blind</w:t>
        </w:r>
        <w:proofErr w:type="gramEnd"/>
        <w:r w:rsidRPr="000868BA">
          <w:rPr>
            <w:rStyle w:val="Hyperlink"/>
            <w:rFonts w:eastAsiaTheme="minorEastAsia"/>
          </w:rPr>
          <w:t>, randomised, phase 2, non-inferiority trial</w:t>
        </w:r>
      </w:hyperlink>
    </w:p>
    <w:p w:rsidR="00F9499F" w:rsidRDefault="00F9499F" w:rsidP="00A30349">
      <w:pPr>
        <w:spacing w:before="200"/>
        <w:rPr>
          <w:rFonts w:eastAsiaTheme="minorEastAsia"/>
        </w:rPr>
      </w:pPr>
    </w:p>
    <w:p w:rsidR="007B3AD6" w:rsidRDefault="000868BA" w:rsidP="00A30349">
      <w:pPr>
        <w:spacing w:before="200"/>
        <w:rPr>
          <w:rFonts w:eastAsiaTheme="minorEastAsia"/>
        </w:rPr>
      </w:pPr>
      <w:r>
        <w:rPr>
          <w:rFonts w:eastAsiaTheme="minorEastAsia"/>
        </w:rPr>
        <w:t xml:space="preserve">See also: </w:t>
      </w:r>
    </w:p>
    <w:p w:rsidR="007B3AD6" w:rsidRDefault="007B3AD6" w:rsidP="00A30349">
      <w:pPr>
        <w:pStyle w:val="ListParagraph"/>
        <w:numPr>
          <w:ilvl w:val="0"/>
          <w:numId w:val="10"/>
        </w:numPr>
        <w:spacing w:before="200"/>
        <w:rPr>
          <w:rFonts w:eastAsiaTheme="minorEastAsia"/>
        </w:rPr>
      </w:pPr>
      <w:hyperlink r:id="rId15" w:history="1">
        <w:r w:rsidRPr="007B3AD6">
          <w:rPr>
            <w:rStyle w:val="Hyperlink"/>
            <w:rFonts w:eastAsiaTheme="minorEastAsia"/>
          </w:rPr>
          <w:t>“Mix and match” primary vaccines are safe and effective, study finds</w:t>
        </w:r>
      </w:hyperlink>
      <w:r>
        <w:rPr>
          <w:rFonts w:eastAsiaTheme="minorEastAsia"/>
        </w:rPr>
        <w:t xml:space="preserve"> | </w:t>
      </w:r>
      <w:proofErr w:type="spellStart"/>
      <w:r>
        <w:rPr>
          <w:rFonts w:eastAsiaTheme="minorEastAsia"/>
        </w:rPr>
        <w:t>BMJ</w:t>
      </w:r>
      <w:proofErr w:type="spellEnd"/>
    </w:p>
    <w:p w:rsidR="00217D3D" w:rsidRDefault="00A10292" w:rsidP="00A30349">
      <w:pPr>
        <w:pStyle w:val="ListParagraph"/>
        <w:numPr>
          <w:ilvl w:val="0"/>
          <w:numId w:val="10"/>
        </w:numPr>
        <w:spacing w:before="200"/>
        <w:rPr>
          <w:rFonts w:eastAsiaTheme="minorEastAsia"/>
        </w:rPr>
      </w:pPr>
      <w:hyperlink r:id="rId16" w:history="1">
        <w:proofErr w:type="spellStart"/>
        <w:r w:rsidR="000868BA" w:rsidRPr="007B3AD6">
          <w:rPr>
            <w:rStyle w:val="Hyperlink"/>
            <w:rFonts w:eastAsiaTheme="minorEastAsia"/>
          </w:rPr>
          <w:t>Moderna</w:t>
        </w:r>
        <w:proofErr w:type="spellEnd"/>
        <w:r w:rsidR="000868BA" w:rsidRPr="007B3AD6">
          <w:rPr>
            <w:rStyle w:val="Hyperlink"/>
            <w:rFonts w:eastAsiaTheme="minorEastAsia"/>
          </w:rPr>
          <w:t xml:space="preserve"> or </w:t>
        </w:r>
        <w:proofErr w:type="spellStart"/>
        <w:r w:rsidR="000868BA" w:rsidRPr="007B3AD6">
          <w:rPr>
            <w:rStyle w:val="Hyperlink"/>
            <w:rFonts w:eastAsiaTheme="minorEastAsia"/>
          </w:rPr>
          <w:t>Novavax</w:t>
        </w:r>
        <w:proofErr w:type="spellEnd"/>
        <w:r w:rsidR="000868BA" w:rsidRPr="007B3AD6">
          <w:rPr>
            <w:rStyle w:val="Hyperlink"/>
            <w:rFonts w:eastAsiaTheme="minorEastAsia"/>
          </w:rPr>
          <w:t xml:space="preserve"> after AstraZeneca jab confers high </w:t>
        </w:r>
        <w:proofErr w:type="spellStart"/>
        <w:r w:rsidR="000868BA" w:rsidRPr="007B3AD6">
          <w:rPr>
            <w:rStyle w:val="Hyperlink"/>
            <w:rFonts w:eastAsiaTheme="minorEastAsia"/>
          </w:rPr>
          <w:t>Covid</w:t>
        </w:r>
        <w:proofErr w:type="spellEnd"/>
        <w:r w:rsidR="000868BA" w:rsidRPr="007B3AD6">
          <w:rPr>
            <w:rStyle w:val="Hyperlink"/>
            <w:rFonts w:eastAsiaTheme="minorEastAsia"/>
          </w:rPr>
          <w:t xml:space="preserve"> immunity, study finds</w:t>
        </w:r>
      </w:hyperlink>
      <w:r w:rsidR="000868BA" w:rsidRPr="007B3AD6">
        <w:rPr>
          <w:rFonts w:eastAsiaTheme="minorEastAsia"/>
        </w:rPr>
        <w:t xml:space="preserve"> | The Guardian</w:t>
      </w:r>
    </w:p>
    <w:p w:rsidR="005F65C7" w:rsidRDefault="00A707F9" w:rsidP="00217D3D">
      <w:pPr>
        <w:pStyle w:val="ListParagraph"/>
        <w:numPr>
          <w:ilvl w:val="0"/>
          <w:numId w:val="10"/>
        </w:numPr>
        <w:spacing w:before="200"/>
        <w:rPr>
          <w:rFonts w:eastAsiaTheme="minorEastAsia"/>
        </w:rPr>
      </w:pPr>
      <w:hyperlink r:id="rId17" w:history="1">
        <w:r w:rsidR="00217D3D" w:rsidRPr="00A707F9">
          <w:rPr>
            <w:rStyle w:val="Hyperlink"/>
            <w:rFonts w:eastAsiaTheme="minorEastAsia"/>
          </w:rPr>
          <w:t>Study supports flexible second dose options following Pfizer or Oxford-AstraZeneca jabs</w:t>
        </w:r>
      </w:hyperlink>
      <w:r>
        <w:rPr>
          <w:rFonts w:eastAsiaTheme="minorEastAsia"/>
        </w:rPr>
        <w:t xml:space="preserve"> | National Institute for Health Research</w:t>
      </w:r>
    </w:p>
    <w:p w:rsidR="00107149" w:rsidRDefault="005F65C7" w:rsidP="005F65C7">
      <w:pPr>
        <w:pStyle w:val="ListParagraph"/>
        <w:numPr>
          <w:ilvl w:val="0"/>
          <w:numId w:val="10"/>
        </w:numPr>
        <w:spacing w:before="200"/>
        <w:rPr>
          <w:rFonts w:eastAsiaTheme="minorEastAsia"/>
        </w:rPr>
      </w:pPr>
      <w:hyperlink r:id="rId18" w:history="1">
        <w:r w:rsidRPr="005F65C7">
          <w:rPr>
            <w:rStyle w:val="Hyperlink"/>
            <w:rFonts w:eastAsiaTheme="minorEastAsia"/>
          </w:rPr>
          <w:t>‘Mix-and-match’ approach can be used for both initial courses and boosters</w:t>
        </w:r>
      </w:hyperlink>
      <w:r>
        <w:rPr>
          <w:rFonts w:eastAsiaTheme="minorEastAsia"/>
        </w:rPr>
        <w:t xml:space="preserve"> | European Medical Agency</w:t>
      </w:r>
      <w:r w:rsidR="00107149">
        <w:rPr>
          <w:rFonts w:eastAsiaTheme="minorEastAsia"/>
        </w:rPr>
        <w:br/>
      </w:r>
    </w:p>
    <w:p w:rsidR="00107149" w:rsidRDefault="00107149" w:rsidP="001071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107149">
        <w:rPr>
          <w:rFonts w:eastAsiaTheme="minorEastAsia"/>
          <w:caps/>
          <w:spacing w:val="15"/>
        </w:rPr>
        <w:t>Immunogenicity and safety of a third dose of CoronaVac, and immune persistence of a two-dose schedule, in healthy adults</w:t>
      </w:r>
    </w:p>
    <w:p w:rsidR="00107149" w:rsidRDefault="00107149" w:rsidP="00107149">
      <w:pPr>
        <w:spacing w:before="200"/>
        <w:rPr>
          <w:rFonts w:eastAsiaTheme="minorEastAsia"/>
        </w:rPr>
      </w:pPr>
      <w:r>
        <w:rPr>
          <w:rFonts w:eastAsiaTheme="minorEastAsia"/>
        </w:rPr>
        <w:t>The Lancet Infectious Diseases | 7</w:t>
      </w:r>
      <w:r w:rsidRPr="00107149">
        <w:rPr>
          <w:rFonts w:eastAsiaTheme="minorEastAsia"/>
          <w:vertAlign w:val="superscript"/>
        </w:rPr>
        <w:t>th</w:t>
      </w:r>
      <w:r>
        <w:rPr>
          <w:rFonts w:eastAsiaTheme="minorEastAsia"/>
        </w:rPr>
        <w:t xml:space="preserve"> December 2021</w:t>
      </w:r>
    </w:p>
    <w:p w:rsidR="00107149" w:rsidRPr="00107149" w:rsidRDefault="00107149" w:rsidP="00107149">
      <w:pPr>
        <w:spacing w:before="200"/>
        <w:rPr>
          <w:rFonts w:eastAsiaTheme="minorEastAsia"/>
        </w:rPr>
      </w:pPr>
      <w:r w:rsidRPr="00107149">
        <w:rPr>
          <w:rFonts w:eastAsiaTheme="minorEastAsia"/>
        </w:rPr>
        <w:t xml:space="preserve">Large-scale vaccination against COVID-19 </w:t>
      </w:r>
      <w:proofErr w:type="gramStart"/>
      <w:r w:rsidRPr="00107149">
        <w:rPr>
          <w:rFonts w:eastAsiaTheme="minorEastAsia"/>
        </w:rPr>
        <w:t>is being implemented</w:t>
      </w:r>
      <w:proofErr w:type="gramEnd"/>
      <w:r w:rsidRPr="00107149">
        <w:rPr>
          <w:rFonts w:eastAsiaTheme="minorEastAsia"/>
        </w:rPr>
        <w:t xml:space="preserve"> in many countries with </w:t>
      </w:r>
      <w:proofErr w:type="spellStart"/>
      <w:r w:rsidRPr="00107149">
        <w:rPr>
          <w:rFonts w:eastAsiaTheme="minorEastAsia"/>
        </w:rPr>
        <w:t>Coron</w:t>
      </w:r>
      <w:r>
        <w:rPr>
          <w:rFonts w:eastAsiaTheme="minorEastAsia"/>
        </w:rPr>
        <w:t>aVac</w:t>
      </w:r>
      <w:proofErr w:type="spellEnd"/>
      <w:r>
        <w:rPr>
          <w:rFonts w:eastAsiaTheme="minorEastAsia"/>
        </w:rPr>
        <w:t>, an inactivated vaccine. The authors of this study</w:t>
      </w:r>
      <w:r w:rsidRPr="00107149">
        <w:rPr>
          <w:rFonts w:eastAsiaTheme="minorEastAsia"/>
        </w:rPr>
        <w:t xml:space="preserve"> aimed to assess the immune persistence of a two-dose schedule of </w:t>
      </w:r>
      <w:proofErr w:type="spellStart"/>
      <w:r w:rsidRPr="00107149">
        <w:rPr>
          <w:rFonts w:eastAsiaTheme="minorEastAsia"/>
        </w:rPr>
        <w:t>CoronaVac</w:t>
      </w:r>
      <w:proofErr w:type="spellEnd"/>
      <w:r w:rsidRPr="00107149">
        <w:rPr>
          <w:rFonts w:eastAsiaTheme="minorEastAsia"/>
        </w:rPr>
        <w:t xml:space="preserve">, and the immunogenicity and safety of a third dose of </w:t>
      </w:r>
      <w:proofErr w:type="spellStart"/>
      <w:r w:rsidRPr="00107149">
        <w:rPr>
          <w:rFonts w:eastAsiaTheme="minorEastAsia"/>
        </w:rPr>
        <w:t>CoronaVac</w:t>
      </w:r>
      <w:proofErr w:type="spellEnd"/>
      <w:r w:rsidRPr="00107149">
        <w:rPr>
          <w:rFonts w:eastAsiaTheme="minorEastAsia"/>
        </w:rPr>
        <w:t>, in healthy adults aged 18 years and older.</w:t>
      </w:r>
    </w:p>
    <w:p w:rsidR="00107149" w:rsidRDefault="00107149" w:rsidP="00107149">
      <w:pPr>
        <w:spacing w:before="200"/>
        <w:rPr>
          <w:rFonts w:eastAsiaTheme="minorEastAsia"/>
        </w:rPr>
      </w:pPr>
      <w:proofErr w:type="gramStart"/>
      <w:r w:rsidRPr="00107149">
        <w:rPr>
          <w:rFonts w:eastAsiaTheme="minorEastAsia"/>
        </w:rPr>
        <w:t xml:space="preserve">A third dose of </w:t>
      </w:r>
      <w:proofErr w:type="spellStart"/>
      <w:r w:rsidRPr="00107149">
        <w:rPr>
          <w:rFonts w:eastAsiaTheme="minorEastAsia"/>
        </w:rPr>
        <w:t>CoronaVac</w:t>
      </w:r>
      <w:proofErr w:type="spellEnd"/>
      <w:r w:rsidRPr="00107149">
        <w:rPr>
          <w:rFonts w:eastAsiaTheme="minorEastAsia"/>
        </w:rPr>
        <w:t xml:space="preserve"> in adults administered 8 months after a second dose effectively recalled specific immune responses to SARS-CoV-2, which had declined substantially 6 months after two doses of </w:t>
      </w:r>
      <w:proofErr w:type="spellStart"/>
      <w:r w:rsidRPr="00107149">
        <w:rPr>
          <w:rFonts w:eastAsiaTheme="minorEastAsia"/>
        </w:rPr>
        <w:t>CoronaVac</w:t>
      </w:r>
      <w:proofErr w:type="spellEnd"/>
      <w:r w:rsidRPr="00107149">
        <w:rPr>
          <w:rFonts w:eastAsiaTheme="minorEastAsia"/>
        </w:rPr>
        <w:t>, resulting in a remarkable increase in the concentration of antibodies and indicating that a two-dose schedule generates good immune memory, and a primary third dose given 2 months after the second dose induced slightly higher antibody titres than the primary two doses.</w:t>
      </w:r>
      <w:proofErr w:type="gramEnd"/>
    </w:p>
    <w:p w:rsidR="000868BA" w:rsidRPr="00107149" w:rsidRDefault="00107149" w:rsidP="00107149">
      <w:pPr>
        <w:spacing w:before="200"/>
        <w:rPr>
          <w:rFonts w:eastAsiaTheme="minorEastAsia"/>
        </w:rPr>
      </w:pPr>
      <w:r>
        <w:rPr>
          <w:rFonts w:eastAsiaTheme="minorEastAsia"/>
        </w:rPr>
        <w:t xml:space="preserve">Full paper: </w:t>
      </w:r>
      <w:hyperlink r:id="rId19" w:history="1">
        <w:r w:rsidRPr="00107149">
          <w:rPr>
            <w:rStyle w:val="Hyperlink"/>
            <w:rFonts w:eastAsiaTheme="minorEastAsia"/>
          </w:rPr>
          <w:t xml:space="preserve">Immunogenicity and safety of a third dose of </w:t>
        </w:r>
        <w:proofErr w:type="spellStart"/>
        <w:r w:rsidRPr="00107149">
          <w:rPr>
            <w:rStyle w:val="Hyperlink"/>
            <w:rFonts w:eastAsiaTheme="minorEastAsia"/>
          </w:rPr>
          <w:t>CoronaVac</w:t>
        </w:r>
        <w:proofErr w:type="spellEnd"/>
        <w:r w:rsidRPr="00107149">
          <w:rPr>
            <w:rStyle w:val="Hyperlink"/>
            <w:rFonts w:eastAsiaTheme="minorEastAsia"/>
          </w:rPr>
          <w:t>, and immune persistence of a two-dose schedule, in healthy adults: interim results from two single-centre, double-blind, randomised, placebo-controlled phase 2 clinical trials</w:t>
        </w:r>
      </w:hyperlink>
      <w:r>
        <w:rPr>
          <w:rFonts w:eastAsiaTheme="minorEastAsia"/>
        </w:rPr>
        <w:br/>
      </w:r>
    </w:p>
    <w:p w:rsidR="002A3430" w:rsidRDefault="00A30349" w:rsidP="007E4F47">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0868BA" w:rsidRPr="000868BA">
        <w:rPr>
          <w:rFonts w:eastAsiaTheme="minorEastAsia"/>
          <w:caps/>
          <w:spacing w:val="15"/>
        </w:rPr>
        <w:t>Spike protein encounters determine protection against variants</w:t>
      </w:r>
    </w:p>
    <w:p w:rsidR="000868BA" w:rsidRDefault="000868BA" w:rsidP="002A3430">
      <w:pPr>
        <w:spacing w:before="200"/>
      </w:pPr>
      <w:r w:rsidRPr="000868BA">
        <w:t>UK Research and Innovation</w:t>
      </w:r>
      <w:r>
        <w:t xml:space="preserve"> | Science | 6</w:t>
      </w:r>
      <w:r w:rsidRPr="000868BA">
        <w:rPr>
          <w:vertAlign w:val="superscript"/>
        </w:rPr>
        <w:t>th</w:t>
      </w:r>
      <w:r>
        <w:t xml:space="preserve"> December 2021</w:t>
      </w:r>
    </w:p>
    <w:p w:rsidR="000868BA" w:rsidRPr="000868BA" w:rsidRDefault="000868BA" w:rsidP="000868BA">
      <w:pPr>
        <w:spacing w:before="200"/>
      </w:pPr>
      <w:r w:rsidRPr="000868BA">
        <w:t>New research shows that the first SARS-CoV-2 spike protein a person encounters shapes their subsequent immune response against current and future variants.</w:t>
      </w:r>
      <w:r>
        <w:t xml:space="preserve"> </w:t>
      </w:r>
      <w:r w:rsidRPr="000868BA">
        <w:t>This encounter could be by vaccination or infection.</w:t>
      </w:r>
    </w:p>
    <w:p w:rsidR="000868BA" w:rsidRDefault="000868BA" w:rsidP="00FF011E">
      <w:pPr>
        <w:spacing w:before="200"/>
      </w:pPr>
      <w:r w:rsidRPr="000868BA">
        <w:t xml:space="preserve">The spike protein imparts different properties that have an impact on the immune system’s ability to protect against variants, </w:t>
      </w:r>
      <w:proofErr w:type="gramStart"/>
      <w:r w:rsidRPr="000868BA">
        <w:t>and also</w:t>
      </w:r>
      <w:proofErr w:type="gramEnd"/>
      <w:r w:rsidRPr="000868BA">
        <w:t xml:space="preserve"> affects the rate of decay of protection.</w:t>
      </w:r>
      <w:r w:rsidR="00FF011E">
        <w:t xml:space="preserve"> It </w:t>
      </w:r>
      <w:proofErr w:type="gramStart"/>
      <w:r w:rsidR="00FF011E">
        <w:t>is known</w:t>
      </w:r>
      <w:proofErr w:type="gramEnd"/>
      <w:r w:rsidR="00FF011E">
        <w:t xml:space="preserve"> that antibody levels wane over time following infection or vaccination. </w:t>
      </w:r>
      <w:proofErr w:type="gramStart"/>
      <w:r w:rsidR="00FF011E">
        <w:t>But</w:t>
      </w:r>
      <w:proofErr w:type="gramEnd"/>
      <w:r w:rsidR="00FF011E">
        <w:t xml:space="preserve"> the new research shows that an individual’s protective immune responses are also affected by which strain or combination of strains they have been exposed to.</w:t>
      </w:r>
    </w:p>
    <w:p w:rsidR="00FF011E" w:rsidRDefault="00FF011E" w:rsidP="00FF011E">
      <w:pPr>
        <w:spacing w:before="200"/>
      </w:pPr>
      <w:r>
        <w:t xml:space="preserve">Further detail: </w:t>
      </w:r>
      <w:hyperlink r:id="rId20" w:history="1">
        <w:r w:rsidRPr="00FF011E">
          <w:rPr>
            <w:rStyle w:val="Hyperlink"/>
          </w:rPr>
          <w:t>Spike protein encounters determine protection against variants</w:t>
        </w:r>
      </w:hyperlink>
    </w:p>
    <w:p w:rsidR="000868BA" w:rsidRDefault="00FF011E" w:rsidP="002A3430">
      <w:pPr>
        <w:spacing w:before="200"/>
      </w:pPr>
      <w:r>
        <w:t xml:space="preserve">Full research: </w:t>
      </w:r>
      <w:hyperlink r:id="rId21" w:history="1">
        <w:r w:rsidRPr="00FF011E">
          <w:rPr>
            <w:rStyle w:val="Hyperlink"/>
          </w:rPr>
          <w:t>Heterologous infection and vaccination shapes immunity against SARS-CoV-2 variants</w:t>
        </w:r>
      </w:hyperlink>
      <w:r>
        <w:t xml:space="preserve"> | Science</w:t>
      </w:r>
    </w:p>
    <w:p w:rsidR="007E4F47" w:rsidRDefault="00A30349" w:rsidP="007E4F47">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FF011E" w:rsidRPr="00FF011E">
        <w:rPr>
          <w:rFonts w:eastAsiaTheme="minorEastAsia"/>
          <w:caps/>
          <w:spacing w:val="15"/>
        </w:rPr>
        <w:t>Investigating Omicron: what UKHSA is doing now</w:t>
      </w:r>
    </w:p>
    <w:p w:rsidR="00FF011E" w:rsidRDefault="00FF011E" w:rsidP="00A30349">
      <w:pPr>
        <w:spacing w:before="200"/>
        <w:rPr>
          <w:rFonts w:eastAsiaTheme="minorEastAsia"/>
        </w:rPr>
      </w:pPr>
      <w:r w:rsidRPr="00FF011E">
        <w:rPr>
          <w:rFonts w:eastAsiaTheme="minorEastAsia"/>
        </w:rPr>
        <w:t>UK Health Security Agency</w:t>
      </w:r>
      <w:r>
        <w:rPr>
          <w:rFonts w:eastAsiaTheme="minorEastAsia"/>
        </w:rPr>
        <w:t xml:space="preserve"> | 8</w:t>
      </w:r>
      <w:r w:rsidRPr="00FF011E">
        <w:rPr>
          <w:rFonts w:eastAsiaTheme="minorEastAsia"/>
          <w:vertAlign w:val="superscript"/>
        </w:rPr>
        <w:t>th</w:t>
      </w:r>
      <w:r>
        <w:rPr>
          <w:rFonts w:eastAsiaTheme="minorEastAsia"/>
        </w:rPr>
        <w:t xml:space="preserve"> December 2021</w:t>
      </w:r>
    </w:p>
    <w:p w:rsidR="00FF011E" w:rsidRPr="00FF011E" w:rsidRDefault="00FF011E" w:rsidP="00FF011E">
      <w:pPr>
        <w:spacing w:before="200"/>
        <w:rPr>
          <w:rFonts w:eastAsiaTheme="minorEastAsia"/>
        </w:rPr>
      </w:pPr>
      <w:r w:rsidRPr="00FF011E">
        <w:rPr>
          <w:rFonts w:eastAsiaTheme="minorEastAsia"/>
        </w:rPr>
        <w:t xml:space="preserve">Last month, a new variant of the virus that causes COVID-19 infection named Omicron </w:t>
      </w:r>
      <w:proofErr w:type="gramStart"/>
      <w:r w:rsidRPr="00FF011E">
        <w:rPr>
          <w:rFonts w:eastAsiaTheme="minorEastAsia"/>
        </w:rPr>
        <w:t>was identified</w:t>
      </w:r>
      <w:proofErr w:type="gramEnd"/>
      <w:r w:rsidRPr="00FF011E">
        <w:rPr>
          <w:rFonts w:eastAsiaTheme="minorEastAsia"/>
        </w:rPr>
        <w:t xml:space="preserve"> and countries around the world are taking action to identify cases and outbreaks and control the spread while we learn more.</w:t>
      </w:r>
    </w:p>
    <w:p w:rsidR="00FF011E" w:rsidRDefault="00FF011E" w:rsidP="00FF011E">
      <w:pPr>
        <w:spacing w:before="200"/>
        <w:rPr>
          <w:rFonts w:eastAsiaTheme="minorEastAsia"/>
          <w:bCs/>
        </w:rPr>
      </w:pPr>
      <w:r>
        <w:rPr>
          <w:rFonts w:eastAsiaTheme="minorEastAsia"/>
        </w:rPr>
        <w:t xml:space="preserve">This blog looks at how the UK Health Security Agency </w:t>
      </w:r>
      <w:r>
        <w:rPr>
          <w:rFonts w:eastAsiaTheme="minorEastAsia"/>
          <w:bCs/>
        </w:rPr>
        <w:t xml:space="preserve">are </w:t>
      </w:r>
      <w:r w:rsidRPr="00FF011E">
        <w:rPr>
          <w:rFonts w:eastAsiaTheme="minorEastAsia"/>
          <w:bCs/>
        </w:rPr>
        <w:t>reducing the spread of the Omicron variant</w:t>
      </w:r>
      <w:r>
        <w:rPr>
          <w:rFonts w:eastAsiaTheme="minorEastAsia"/>
          <w:bCs/>
        </w:rPr>
        <w:t>.</w:t>
      </w:r>
    </w:p>
    <w:p w:rsidR="00A30349" w:rsidRDefault="00FF011E" w:rsidP="00A30349">
      <w:pPr>
        <w:spacing w:before="200"/>
        <w:rPr>
          <w:rFonts w:eastAsiaTheme="minorEastAsia"/>
        </w:rPr>
      </w:pPr>
      <w:r>
        <w:rPr>
          <w:rFonts w:eastAsiaTheme="minorEastAsia"/>
          <w:bCs/>
        </w:rPr>
        <w:t xml:space="preserve">Full detail: </w:t>
      </w:r>
      <w:hyperlink r:id="rId22" w:history="1">
        <w:r w:rsidRPr="00FF011E">
          <w:rPr>
            <w:rStyle w:val="Hyperlink"/>
            <w:rFonts w:eastAsiaTheme="minorEastAsia"/>
            <w:bCs/>
          </w:rPr>
          <w:t>Investigating Omicron: what UKHSA is doing now</w:t>
        </w:r>
      </w:hyperlink>
    </w:p>
    <w:p w:rsidR="00E84B8A" w:rsidRDefault="00A30349" w:rsidP="007E4F47">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E7250F" w:rsidRPr="00E7250F">
        <w:rPr>
          <w:rFonts w:eastAsiaTheme="minorEastAsia"/>
          <w:caps/>
          <w:spacing w:val="15"/>
        </w:rPr>
        <w:t>BNT162b2 Vaccine Booster and Mortality Due to Covid-19</w:t>
      </w:r>
    </w:p>
    <w:p w:rsidR="00E7250F" w:rsidRDefault="00117430" w:rsidP="00A30349">
      <w:pPr>
        <w:spacing w:before="200"/>
        <w:rPr>
          <w:rFonts w:eastAsiaTheme="minorEastAsia"/>
        </w:rPr>
      </w:pPr>
      <w:r>
        <w:rPr>
          <w:rFonts w:eastAsiaTheme="minorEastAsia"/>
        </w:rPr>
        <w:t>New England Journal of Medicine | 8</w:t>
      </w:r>
      <w:r w:rsidRPr="00117430">
        <w:rPr>
          <w:rFonts w:eastAsiaTheme="minorEastAsia"/>
          <w:vertAlign w:val="superscript"/>
        </w:rPr>
        <w:t>th</w:t>
      </w:r>
      <w:r>
        <w:rPr>
          <w:rFonts w:eastAsiaTheme="minorEastAsia"/>
        </w:rPr>
        <w:t xml:space="preserve"> December 2021</w:t>
      </w:r>
    </w:p>
    <w:p w:rsidR="00E7250F" w:rsidRPr="00E7250F" w:rsidRDefault="00E7250F" w:rsidP="00E7250F">
      <w:pPr>
        <w:spacing w:before="200"/>
        <w:rPr>
          <w:rFonts w:eastAsiaTheme="minorEastAsia"/>
        </w:rPr>
      </w:pPr>
      <w:r w:rsidRPr="00E7250F">
        <w:rPr>
          <w:rFonts w:eastAsiaTheme="minorEastAsia"/>
        </w:rPr>
        <w:t>The emergence of the B.1.617.2 (delta) variant of severe acute respiratory syndrome coronavirus 2 and the reduced effectiveness over time of the BNT162b2 vaccine (Pfizer–</w:t>
      </w:r>
      <w:proofErr w:type="spellStart"/>
      <w:r w:rsidRPr="00E7250F">
        <w:rPr>
          <w:rFonts w:eastAsiaTheme="minorEastAsia"/>
        </w:rPr>
        <w:t>BioNTech</w:t>
      </w:r>
      <w:proofErr w:type="spellEnd"/>
      <w:r w:rsidRPr="00E7250F">
        <w:rPr>
          <w:rFonts w:eastAsiaTheme="minorEastAsia"/>
        </w:rPr>
        <w:t xml:space="preserve">) led to a resurgence of coronavirus disease 2019 (Covid-19) cases in populations that </w:t>
      </w:r>
      <w:proofErr w:type="gramStart"/>
      <w:r w:rsidRPr="00E7250F">
        <w:rPr>
          <w:rFonts w:eastAsiaTheme="minorEastAsia"/>
        </w:rPr>
        <w:t>had been vaccinated</w:t>
      </w:r>
      <w:proofErr w:type="gramEnd"/>
      <w:r w:rsidRPr="00E7250F">
        <w:rPr>
          <w:rFonts w:eastAsiaTheme="minorEastAsia"/>
        </w:rPr>
        <w:t xml:space="preserve"> early. On July 30, 2021, the Israeli Ministry of Health approved the use of a third dose of BNT162b2 (booster) to cope with this resurgence. Evidence regarding the effectiveness of the booster in lowering mortality due to Covid-19 </w:t>
      </w:r>
      <w:proofErr w:type="gramStart"/>
      <w:r w:rsidRPr="00E7250F">
        <w:rPr>
          <w:rFonts w:eastAsiaTheme="minorEastAsia"/>
        </w:rPr>
        <w:t>is still needed</w:t>
      </w:r>
      <w:proofErr w:type="gramEnd"/>
      <w:r w:rsidRPr="00E7250F">
        <w:rPr>
          <w:rFonts w:eastAsiaTheme="minorEastAsia"/>
        </w:rPr>
        <w:t>.</w:t>
      </w:r>
    </w:p>
    <w:p w:rsidR="00117430" w:rsidRPr="00117430" w:rsidRDefault="00117430" w:rsidP="00117430">
      <w:pPr>
        <w:spacing w:before="200"/>
        <w:rPr>
          <w:rFonts w:eastAsiaTheme="minorEastAsia"/>
        </w:rPr>
      </w:pPr>
      <w:r>
        <w:rPr>
          <w:rFonts w:eastAsiaTheme="minorEastAsia"/>
        </w:rPr>
        <w:t>This study concludes that p</w:t>
      </w:r>
      <w:r w:rsidRPr="00117430">
        <w:rPr>
          <w:rFonts w:eastAsiaTheme="minorEastAsia"/>
        </w:rPr>
        <w:t>articipants who received a booster at least 5 months after a second dose of BNT162b2 had 90% lower mortality due to Covid-19 than participants who did not receive a booster.</w:t>
      </w:r>
    </w:p>
    <w:p w:rsidR="00F9499F" w:rsidRDefault="00117430" w:rsidP="00A30349">
      <w:pPr>
        <w:spacing w:before="200"/>
        <w:rPr>
          <w:rStyle w:val="Hyperlink"/>
          <w:rFonts w:eastAsiaTheme="minorEastAsia"/>
        </w:rPr>
      </w:pPr>
      <w:r>
        <w:rPr>
          <w:rFonts w:eastAsiaTheme="minorEastAsia"/>
        </w:rPr>
        <w:t xml:space="preserve">Full paper: </w:t>
      </w:r>
      <w:hyperlink r:id="rId23" w:history="1">
        <w:r w:rsidRPr="00117430">
          <w:rPr>
            <w:rStyle w:val="Hyperlink"/>
            <w:rFonts w:eastAsiaTheme="minorEastAsia"/>
          </w:rPr>
          <w:t>BNT162b2 vaccine booster and mortality due to Covid-19</w:t>
        </w:r>
      </w:hyperlink>
    </w:p>
    <w:p w:rsidR="00A96B6D" w:rsidRPr="00A96B6D" w:rsidRDefault="00A30349" w:rsidP="007E4F47">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117430" w:rsidRPr="00117430">
        <w:rPr>
          <w:rFonts w:eastAsiaTheme="minorEastAsia"/>
          <w:caps/>
          <w:spacing w:val="15"/>
        </w:rPr>
        <w:t>Protection against Covid-19 by BNT162b2 Booster across Age Groups</w:t>
      </w:r>
    </w:p>
    <w:p w:rsidR="00117430" w:rsidRPr="00117430" w:rsidRDefault="00117430" w:rsidP="00117430">
      <w:pPr>
        <w:spacing w:before="200"/>
        <w:rPr>
          <w:rFonts w:eastAsiaTheme="minorEastAsia"/>
        </w:rPr>
      </w:pPr>
      <w:r w:rsidRPr="00117430">
        <w:rPr>
          <w:rFonts w:eastAsiaTheme="minorEastAsia"/>
        </w:rPr>
        <w:t>New England Journal of Medicine | 8</w:t>
      </w:r>
      <w:r w:rsidRPr="00117430">
        <w:rPr>
          <w:rFonts w:eastAsiaTheme="minorEastAsia"/>
          <w:vertAlign w:val="superscript"/>
        </w:rPr>
        <w:t>th</w:t>
      </w:r>
      <w:r w:rsidRPr="00117430">
        <w:rPr>
          <w:rFonts w:eastAsiaTheme="minorEastAsia"/>
        </w:rPr>
        <w:t xml:space="preserve"> December 2021</w:t>
      </w:r>
    </w:p>
    <w:p w:rsidR="00C33971" w:rsidRDefault="00C33971" w:rsidP="00C33971">
      <w:pPr>
        <w:spacing w:before="200"/>
        <w:rPr>
          <w:rFonts w:eastAsiaTheme="minorEastAsia"/>
        </w:rPr>
      </w:pPr>
      <w:r w:rsidRPr="00C33971">
        <w:rPr>
          <w:rFonts w:eastAsiaTheme="minorEastAsia"/>
        </w:rPr>
        <w:t>After promising initial results from the administration of a third (booster) dose of the BNT162b2 messenger RNA vaccine (Pfizer–</w:t>
      </w:r>
      <w:proofErr w:type="spellStart"/>
      <w:r w:rsidRPr="00C33971">
        <w:rPr>
          <w:rFonts w:eastAsiaTheme="minorEastAsia"/>
        </w:rPr>
        <w:t>BioNTech</w:t>
      </w:r>
      <w:proofErr w:type="spellEnd"/>
      <w:r w:rsidRPr="00C33971">
        <w:rPr>
          <w:rFonts w:eastAsiaTheme="minorEastAsia"/>
        </w:rPr>
        <w:t>) to persons 60 years of age or older, the booster campaign in Israel was gradually expanded to persons in younger age groups who had received a second dose at least 5 months earlier.</w:t>
      </w:r>
    </w:p>
    <w:p w:rsidR="00B04748" w:rsidRDefault="00B04748" w:rsidP="00C33971">
      <w:pPr>
        <w:spacing w:before="200"/>
        <w:rPr>
          <w:rFonts w:eastAsiaTheme="minorEastAsia"/>
        </w:rPr>
      </w:pPr>
      <w:r w:rsidRPr="00B04748">
        <w:rPr>
          <w:rFonts w:eastAsiaTheme="minorEastAsia"/>
        </w:rPr>
        <w:t>Across the age groups studied, rates of confirmed Covid-19 and severe illness were substantially lower among participants who received a booster dose of the BNT162b2 vaccine than among those who did not.</w:t>
      </w:r>
    </w:p>
    <w:p w:rsidR="00B04748" w:rsidRPr="00B04748" w:rsidRDefault="00B04748" w:rsidP="00B04748">
      <w:pPr>
        <w:spacing w:before="200"/>
        <w:rPr>
          <w:rFonts w:eastAsiaTheme="minorEastAsia"/>
        </w:rPr>
      </w:pPr>
      <w:r>
        <w:rPr>
          <w:rFonts w:eastAsiaTheme="minorEastAsia"/>
        </w:rPr>
        <w:t xml:space="preserve">Full paper: </w:t>
      </w:r>
      <w:hyperlink r:id="rId24" w:history="1">
        <w:r w:rsidRPr="00B04748">
          <w:rPr>
            <w:rStyle w:val="Hyperlink"/>
            <w:rFonts w:eastAsiaTheme="minorEastAsia"/>
          </w:rPr>
          <w:t>Protection against Covid-19 by BNT162b2 booster across age groups</w:t>
        </w:r>
      </w:hyperlink>
      <w:r w:rsidR="00F9499F">
        <w:rPr>
          <w:rStyle w:val="Hyperlink"/>
          <w:rFonts w:eastAsiaTheme="minorEastAsia"/>
        </w:rPr>
        <w:br/>
      </w:r>
    </w:p>
    <w:p w:rsidR="007E4F47" w:rsidRDefault="007E4F47" w:rsidP="007E4F47">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7B3AD6" w:rsidRPr="007B3AD6">
        <w:rPr>
          <w:rFonts w:eastAsiaTheme="minorEastAsia"/>
          <w:caps/>
          <w:spacing w:val="15"/>
        </w:rPr>
        <w:t>Whatever happened to the Novavax vaccine?</w:t>
      </w:r>
    </w:p>
    <w:p w:rsidR="007B3AD6" w:rsidRDefault="007B3AD6" w:rsidP="00A96B6D">
      <w:pPr>
        <w:spacing w:before="200"/>
      </w:pPr>
      <w:r w:rsidRPr="007B3AD6">
        <w:t xml:space="preserve">BMJ </w:t>
      </w:r>
      <w:r>
        <w:t xml:space="preserve">| </w:t>
      </w:r>
      <w:r w:rsidRPr="007B3AD6">
        <w:t>2021;</w:t>
      </w:r>
      <w:r>
        <w:t xml:space="preserve"> </w:t>
      </w:r>
      <w:r w:rsidRPr="007B3AD6">
        <w:t>375:</w:t>
      </w:r>
      <w:r>
        <w:t xml:space="preserve"> </w:t>
      </w:r>
      <w:r w:rsidRPr="007B3AD6">
        <w:t>n2965</w:t>
      </w:r>
      <w:r>
        <w:t xml:space="preserve"> | 8</w:t>
      </w:r>
      <w:r w:rsidRPr="007B3AD6">
        <w:rPr>
          <w:vertAlign w:val="superscript"/>
        </w:rPr>
        <w:t>th</w:t>
      </w:r>
      <w:r>
        <w:t xml:space="preserve"> December 2021</w:t>
      </w:r>
    </w:p>
    <w:p w:rsidR="007B3AD6" w:rsidRDefault="007B3AD6" w:rsidP="00A96B6D">
      <w:pPr>
        <w:spacing w:before="200"/>
      </w:pPr>
      <w:proofErr w:type="spellStart"/>
      <w:r w:rsidRPr="007B3AD6">
        <w:t>Novavax</w:t>
      </w:r>
      <w:proofErr w:type="spellEnd"/>
      <w:r w:rsidRPr="007B3AD6">
        <w:t xml:space="preserve"> had a vaccine with big promise. Its more traditional technology and easy storage attracted big global investment but, as year two of the pandemic draws to a close, the company struggles with regulators, disappoints hopeful governments, and lags far behind its competitors. Is there still hope, ask</w:t>
      </w:r>
      <w:r>
        <w:t>s this BMJ Feature.</w:t>
      </w:r>
      <w:r w:rsidRPr="007B3AD6">
        <w:t> </w:t>
      </w:r>
    </w:p>
    <w:p w:rsidR="007B3AD6" w:rsidRDefault="007B3AD6" w:rsidP="00A96B6D">
      <w:pPr>
        <w:spacing w:before="200"/>
      </w:pPr>
      <w:r>
        <w:t xml:space="preserve">Full detail: </w:t>
      </w:r>
      <w:hyperlink r:id="rId25" w:history="1">
        <w:r w:rsidRPr="007B3AD6">
          <w:rPr>
            <w:rStyle w:val="Hyperlink"/>
          </w:rPr>
          <w:t xml:space="preserve">Whatever happened to the </w:t>
        </w:r>
        <w:proofErr w:type="spellStart"/>
        <w:r w:rsidRPr="007B3AD6">
          <w:rPr>
            <w:rStyle w:val="Hyperlink"/>
          </w:rPr>
          <w:t>Novavax</w:t>
        </w:r>
        <w:proofErr w:type="spellEnd"/>
        <w:r w:rsidRPr="007B3AD6">
          <w:rPr>
            <w:rStyle w:val="Hyperlink"/>
          </w:rPr>
          <w:t xml:space="preserve"> vaccine?</w:t>
        </w:r>
      </w:hyperlink>
      <w:r w:rsidR="005F65C7">
        <w:br/>
      </w:r>
    </w:p>
    <w:p w:rsidR="007E4F47" w:rsidRDefault="007E4F47" w:rsidP="007E4F47">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5F65C7" w:rsidRPr="005F65C7">
        <w:rPr>
          <w:rFonts w:eastAsiaTheme="minorEastAsia"/>
          <w:caps/>
          <w:spacing w:val="15"/>
        </w:rPr>
        <w:t>The R value and growth rate</w:t>
      </w:r>
    </w:p>
    <w:p w:rsidR="00FA7EC6" w:rsidRDefault="005F65C7" w:rsidP="00A96B6D">
      <w:pPr>
        <w:spacing w:before="200"/>
        <w:rPr>
          <w:rFonts w:eastAsiaTheme="minorEastAsia"/>
        </w:rPr>
      </w:pPr>
      <w:r w:rsidRPr="005F65C7">
        <w:rPr>
          <w:rFonts w:eastAsiaTheme="minorEastAsia"/>
        </w:rPr>
        <w:t>UK Health Security Agency</w:t>
      </w:r>
      <w:r>
        <w:rPr>
          <w:rFonts w:eastAsiaTheme="minorEastAsia"/>
        </w:rPr>
        <w:t xml:space="preserve"> | updated 10</w:t>
      </w:r>
      <w:r w:rsidRPr="005F65C7">
        <w:rPr>
          <w:rFonts w:eastAsiaTheme="minorEastAsia"/>
          <w:vertAlign w:val="superscript"/>
        </w:rPr>
        <w:t>th</w:t>
      </w:r>
      <w:r>
        <w:rPr>
          <w:rFonts w:eastAsiaTheme="minorEastAsia"/>
        </w:rPr>
        <w:t xml:space="preserve"> December 2021</w:t>
      </w:r>
    </w:p>
    <w:p w:rsidR="005F65C7" w:rsidRPr="005F65C7" w:rsidRDefault="005F65C7" w:rsidP="005F65C7">
      <w:pPr>
        <w:spacing w:before="200"/>
        <w:rPr>
          <w:rFonts w:eastAsiaTheme="minorEastAsia"/>
        </w:rPr>
      </w:pPr>
      <w:r w:rsidRPr="005F65C7">
        <w:rPr>
          <w:rFonts w:eastAsiaTheme="minorEastAsia"/>
        </w:rPr>
        <w:t>The latest reproduction number (R) and growth rate of coronavirus (COVID-19).</w:t>
      </w:r>
    </w:p>
    <w:p w:rsidR="005F65C7" w:rsidRPr="005F65C7" w:rsidRDefault="005F65C7" w:rsidP="005F65C7">
      <w:pPr>
        <w:spacing w:before="200"/>
        <w:rPr>
          <w:rFonts w:eastAsiaTheme="minorEastAsia"/>
        </w:rPr>
      </w:pPr>
      <w:r>
        <w:rPr>
          <w:rFonts w:eastAsiaTheme="minorEastAsia"/>
        </w:rPr>
        <w:t xml:space="preserve">As of </w:t>
      </w:r>
      <w:r w:rsidRPr="005F65C7">
        <w:rPr>
          <w:rFonts w:eastAsiaTheme="minorEastAsia"/>
        </w:rPr>
        <w:t>10 December 2021</w:t>
      </w:r>
      <w:r>
        <w:rPr>
          <w:rFonts w:eastAsiaTheme="minorEastAsia"/>
        </w:rPr>
        <w:t>:</w:t>
      </w:r>
    </w:p>
    <w:p w:rsidR="005F65C7" w:rsidRDefault="005F65C7" w:rsidP="00A96B6D">
      <w:pPr>
        <w:spacing w:before="200"/>
        <w:rPr>
          <w:rFonts w:eastAsiaTheme="minorEastAsia"/>
        </w:rPr>
      </w:pPr>
      <w:r w:rsidRPr="005F65C7">
        <w:rPr>
          <w:rFonts w:eastAsiaTheme="minorEastAsia"/>
        </w:rPr>
        <w:t>The R range for England is 0.9 to 1.1 and the growth rate range for England is -1% to +2% per day as of 10 December 2021.</w:t>
      </w:r>
    </w:p>
    <w:p w:rsidR="005F65C7" w:rsidRDefault="005F65C7" w:rsidP="00A96B6D">
      <w:pPr>
        <w:spacing w:before="200"/>
        <w:rPr>
          <w:rFonts w:eastAsiaTheme="minorEastAsia"/>
        </w:rPr>
      </w:pPr>
      <w:r>
        <w:rPr>
          <w:rFonts w:eastAsiaTheme="minorEastAsia"/>
        </w:rPr>
        <w:t xml:space="preserve">Full detail: </w:t>
      </w:r>
      <w:hyperlink r:id="rId26" w:anchor="history" w:history="1">
        <w:r w:rsidRPr="005F65C7">
          <w:rPr>
            <w:rStyle w:val="Hyperlink"/>
            <w:rFonts w:eastAsiaTheme="minorEastAsia"/>
          </w:rPr>
          <w:t xml:space="preserve">The </w:t>
        </w:r>
        <w:proofErr w:type="gramStart"/>
        <w:r w:rsidRPr="005F65C7">
          <w:rPr>
            <w:rStyle w:val="Hyperlink"/>
            <w:rFonts w:eastAsiaTheme="minorEastAsia"/>
          </w:rPr>
          <w:t>R value</w:t>
        </w:r>
        <w:proofErr w:type="gramEnd"/>
        <w:r w:rsidRPr="005F65C7">
          <w:rPr>
            <w:rStyle w:val="Hyperlink"/>
            <w:rFonts w:eastAsiaTheme="minorEastAsia"/>
          </w:rPr>
          <w:t xml:space="preserve"> and growth rate</w:t>
        </w:r>
      </w:hyperlink>
      <w:r w:rsidR="005159E5">
        <w:rPr>
          <w:rFonts w:eastAsiaTheme="minorEastAsia"/>
        </w:rPr>
        <w:br/>
      </w:r>
    </w:p>
    <w:p w:rsidR="007E4F47" w:rsidRDefault="007E4F47" w:rsidP="007E4F47">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D03514" w:rsidRPr="00D03514">
        <w:rPr>
          <w:rFonts w:eastAsiaTheme="minorEastAsia"/>
          <w:caps/>
          <w:spacing w:val="15"/>
        </w:rPr>
        <w:t>Booster bookings surge as National Booking Service expands to over 40s three months on from second dose</w:t>
      </w:r>
    </w:p>
    <w:p w:rsidR="007E4F47" w:rsidRDefault="00D03514" w:rsidP="00A96B6D">
      <w:pPr>
        <w:spacing w:before="200"/>
        <w:rPr>
          <w:rFonts w:eastAsiaTheme="minorEastAsia"/>
        </w:rPr>
      </w:pPr>
      <w:r>
        <w:rPr>
          <w:rFonts w:eastAsiaTheme="minorEastAsia"/>
        </w:rPr>
        <w:t>NHS England | 9</w:t>
      </w:r>
      <w:r w:rsidRPr="00D03514">
        <w:rPr>
          <w:rFonts w:eastAsiaTheme="minorEastAsia"/>
          <w:vertAlign w:val="superscript"/>
        </w:rPr>
        <w:t>th</w:t>
      </w:r>
      <w:r>
        <w:rPr>
          <w:rFonts w:eastAsiaTheme="minorEastAsia"/>
        </w:rPr>
        <w:t xml:space="preserve"> December 2021</w:t>
      </w:r>
    </w:p>
    <w:p w:rsidR="00D03514" w:rsidRPr="00D03514" w:rsidRDefault="00D03514" w:rsidP="00D03514">
      <w:pPr>
        <w:spacing w:before="200"/>
        <w:rPr>
          <w:rFonts w:eastAsiaTheme="minorEastAsia"/>
        </w:rPr>
      </w:pPr>
      <w:r w:rsidRPr="00D03514">
        <w:rPr>
          <w:rFonts w:eastAsiaTheme="minorEastAsia"/>
        </w:rPr>
        <w:t xml:space="preserve">More than 410,000 people snapped up booster appointments yesterday (Wednesday 8 December) after the National Booking Service (NBS) opened to </w:t>
      </w:r>
      <w:proofErr w:type="gramStart"/>
      <w:r w:rsidRPr="00D03514">
        <w:rPr>
          <w:rFonts w:eastAsiaTheme="minorEastAsia"/>
        </w:rPr>
        <w:t>those age</w:t>
      </w:r>
      <w:proofErr w:type="gramEnd"/>
      <w:r w:rsidRPr="00D03514">
        <w:rPr>
          <w:rFonts w:eastAsiaTheme="minorEastAsia"/>
        </w:rPr>
        <w:t xml:space="preserve"> 40 and over to book their top-up after the updated three-month interval.</w:t>
      </w:r>
    </w:p>
    <w:p w:rsidR="00D03514" w:rsidRDefault="00D03514" w:rsidP="00D03514">
      <w:pPr>
        <w:spacing w:before="200"/>
        <w:rPr>
          <w:rFonts w:eastAsiaTheme="minorEastAsia"/>
        </w:rPr>
      </w:pPr>
      <w:r w:rsidRPr="00D03514">
        <w:rPr>
          <w:rFonts w:eastAsiaTheme="minorEastAsia"/>
        </w:rPr>
        <w:t>Almost half a million jabs were booked through the NBS in total, including 20,559 first doses and 39,623 second doses as people continue to take up the NHS’ evergreen offer.</w:t>
      </w:r>
    </w:p>
    <w:p w:rsidR="003E0BD2" w:rsidRDefault="003E0BD2" w:rsidP="00D03514">
      <w:pPr>
        <w:spacing w:before="200"/>
        <w:rPr>
          <w:rFonts w:eastAsiaTheme="minorEastAsia"/>
        </w:rPr>
      </w:pPr>
      <w:r>
        <w:rPr>
          <w:rFonts w:eastAsiaTheme="minorEastAsia"/>
        </w:rPr>
        <w:t xml:space="preserve">Full detail: </w:t>
      </w:r>
      <w:hyperlink r:id="rId27" w:history="1">
        <w:r w:rsidRPr="003E0BD2">
          <w:rPr>
            <w:rStyle w:val="Hyperlink"/>
            <w:rFonts w:eastAsiaTheme="minorEastAsia"/>
          </w:rPr>
          <w:t>Booster bookings surge as National Booking Service expands to over 40s three months on from second dose</w:t>
        </w:r>
      </w:hyperlink>
    </w:p>
    <w:p w:rsidR="003E0BD2" w:rsidRDefault="003E0BD2" w:rsidP="00D03514">
      <w:pPr>
        <w:spacing w:before="200"/>
        <w:rPr>
          <w:rFonts w:eastAsiaTheme="minorEastAsia"/>
        </w:rPr>
      </w:pPr>
      <w:r w:rsidRPr="003E0BD2">
        <w:rPr>
          <w:rFonts w:ascii="Calibri" w:eastAsia="Times New Roman" w:hAnsi="Calibri" w:cs="Times New Roman"/>
        </w:rPr>
        <w:t xml:space="preserve">See </w:t>
      </w:r>
      <w:proofErr w:type="gramStart"/>
      <w:r w:rsidRPr="003E0BD2">
        <w:rPr>
          <w:rFonts w:ascii="Calibri" w:eastAsia="Times New Roman" w:hAnsi="Calibri" w:cs="Times New Roman"/>
        </w:rPr>
        <w:t>also:</w:t>
      </w:r>
      <w:proofErr w:type="gramEnd"/>
      <w:r w:rsidRPr="003E0BD2">
        <w:rPr>
          <w:rFonts w:ascii="Calibri" w:eastAsia="Times New Roman" w:hAnsi="Calibri" w:cs="Times New Roman"/>
        </w:rPr>
        <w:t xml:space="preserve"> </w:t>
      </w:r>
      <w:hyperlink r:id="rId28" w:history="1">
        <w:r w:rsidRPr="003E0BD2">
          <w:rPr>
            <w:rFonts w:ascii="Calibri" w:eastAsia="Times New Roman" w:hAnsi="Calibri" w:cs="Times New Roman"/>
            <w:color w:val="0000FF" w:themeColor="hyperlink"/>
            <w:u w:val="single"/>
          </w:rPr>
          <w:t>People 40 and over to get their lifesaving booster jab three months on from second dose</w:t>
        </w:r>
      </w:hyperlink>
      <w:r w:rsidRPr="003E0BD2">
        <w:rPr>
          <w:rFonts w:ascii="Calibri" w:eastAsia="Times New Roman" w:hAnsi="Calibri" w:cs="Times New Roman"/>
        </w:rPr>
        <w:t xml:space="preserve"> | NHS England</w:t>
      </w:r>
      <w:r>
        <w:rPr>
          <w:rFonts w:ascii="Calibri" w:eastAsia="Times New Roman" w:hAnsi="Calibri" w:cs="Times New Roman"/>
        </w:rPr>
        <w:br/>
      </w:r>
    </w:p>
    <w:p w:rsidR="007E4F47" w:rsidRDefault="007E4F47" w:rsidP="007E4F47">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3E0BD2" w:rsidRPr="003E0BD2">
        <w:rPr>
          <w:rFonts w:eastAsiaTheme="minorEastAsia"/>
          <w:caps/>
          <w:spacing w:val="15"/>
        </w:rPr>
        <w:t>COVID-19 variants: genomically confirmed case numbers</w:t>
      </w:r>
    </w:p>
    <w:p w:rsidR="003E0BD2" w:rsidRDefault="003E0BD2" w:rsidP="003E0BD2">
      <w:pPr>
        <w:spacing w:before="200"/>
        <w:rPr>
          <w:rFonts w:eastAsiaTheme="minorEastAsia"/>
        </w:rPr>
      </w:pPr>
      <w:r w:rsidRPr="003E0BD2">
        <w:rPr>
          <w:rFonts w:eastAsiaTheme="minorEastAsia"/>
        </w:rPr>
        <w:t>UK Health Security Agency</w:t>
      </w:r>
      <w:r>
        <w:rPr>
          <w:rFonts w:eastAsiaTheme="minorEastAsia"/>
        </w:rPr>
        <w:t xml:space="preserve"> | updated 10</w:t>
      </w:r>
      <w:r w:rsidRPr="003E0BD2">
        <w:rPr>
          <w:rFonts w:eastAsiaTheme="minorEastAsia"/>
          <w:vertAlign w:val="superscript"/>
        </w:rPr>
        <w:t>th</w:t>
      </w:r>
      <w:r>
        <w:rPr>
          <w:rFonts w:eastAsiaTheme="minorEastAsia"/>
        </w:rPr>
        <w:t xml:space="preserve"> December 2021</w:t>
      </w:r>
    </w:p>
    <w:p w:rsidR="003E0BD2" w:rsidRPr="003E0BD2" w:rsidRDefault="003E0BD2" w:rsidP="003E0BD2">
      <w:pPr>
        <w:spacing w:before="200"/>
        <w:rPr>
          <w:rFonts w:eastAsiaTheme="minorEastAsia"/>
        </w:rPr>
      </w:pPr>
      <w:r w:rsidRPr="003E0BD2">
        <w:rPr>
          <w:rFonts w:eastAsiaTheme="minorEastAsia"/>
        </w:rPr>
        <w:t>Latest</w:t>
      </w:r>
      <w:r>
        <w:rPr>
          <w:rFonts w:eastAsiaTheme="minorEastAsia"/>
        </w:rPr>
        <w:t xml:space="preserve"> </w:t>
      </w:r>
      <w:proofErr w:type="spellStart"/>
      <w:r>
        <w:rPr>
          <w:rFonts w:eastAsiaTheme="minorEastAsia"/>
        </w:rPr>
        <w:t>g</w:t>
      </w:r>
      <w:r w:rsidRPr="003E0BD2">
        <w:rPr>
          <w:rFonts w:eastAsiaTheme="minorEastAsia"/>
        </w:rPr>
        <w:t>enomically</w:t>
      </w:r>
      <w:proofErr w:type="spellEnd"/>
      <w:r w:rsidRPr="003E0BD2">
        <w:rPr>
          <w:rFonts w:eastAsiaTheme="minorEastAsia"/>
        </w:rPr>
        <w:t xml:space="preserve"> confirmed case numbers for SARS-CoV-2 variants of concern and variants under investigation.</w:t>
      </w:r>
      <w:r>
        <w:rPr>
          <w:rFonts w:eastAsiaTheme="minorEastAsia"/>
        </w:rPr>
        <w:t xml:space="preserve">  </w:t>
      </w:r>
      <w:r w:rsidRPr="003E0BD2">
        <w:rPr>
          <w:rFonts w:eastAsiaTheme="minorEastAsia"/>
        </w:rPr>
        <w:t>The tables include the breakdown of numbers for the UK and for the four devolved administrations.</w:t>
      </w:r>
    </w:p>
    <w:p w:rsidR="007E4F47" w:rsidRDefault="003E0BD2" w:rsidP="00A96B6D">
      <w:pPr>
        <w:spacing w:before="200"/>
        <w:rPr>
          <w:rFonts w:eastAsiaTheme="minorEastAsia"/>
        </w:rPr>
      </w:pPr>
      <w:r>
        <w:rPr>
          <w:rFonts w:eastAsiaTheme="minorEastAsia"/>
        </w:rPr>
        <w:t xml:space="preserve">Full detail: </w:t>
      </w:r>
      <w:hyperlink r:id="rId29" w:history="1">
        <w:r w:rsidRPr="003E0BD2">
          <w:rPr>
            <w:rStyle w:val="Hyperlink"/>
            <w:rFonts w:eastAsiaTheme="minorEastAsia"/>
          </w:rPr>
          <w:t xml:space="preserve">COVID-19 variants: </w:t>
        </w:r>
        <w:proofErr w:type="spellStart"/>
        <w:r w:rsidRPr="003E0BD2">
          <w:rPr>
            <w:rStyle w:val="Hyperlink"/>
            <w:rFonts w:eastAsiaTheme="minorEastAsia"/>
          </w:rPr>
          <w:t>genomically</w:t>
        </w:r>
        <w:proofErr w:type="spellEnd"/>
        <w:r w:rsidRPr="003E0BD2">
          <w:rPr>
            <w:rStyle w:val="Hyperlink"/>
            <w:rFonts w:eastAsiaTheme="minorEastAsia"/>
          </w:rPr>
          <w:t xml:space="preserve"> confirmed case numbers</w:t>
        </w:r>
      </w:hyperlink>
      <w:r>
        <w:rPr>
          <w:rFonts w:eastAsiaTheme="minorEastAsia"/>
        </w:rPr>
        <w:br/>
      </w:r>
    </w:p>
    <w:p w:rsidR="007E4F47" w:rsidRDefault="007E4F47" w:rsidP="007E4F47">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BF4C0E" w:rsidRPr="00BF4C0E">
        <w:rPr>
          <w:rFonts w:eastAsiaTheme="minorEastAsia"/>
          <w:caps/>
          <w:spacing w:val="15"/>
        </w:rPr>
        <w:t>Prime Minister confirms move to Plan B in England</w:t>
      </w:r>
    </w:p>
    <w:p w:rsidR="007E4F47" w:rsidRDefault="00BF4C0E" w:rsidP="00A96B6D">
      <w:pPr>
        <w:spacing w:before="200"/>
        <w:rPr>
          <w:rFonts w:eastAsiaTheme="minorEastAsia"/>
        </w:rPr>
      </w:pPr>
      <w:r w:rsidRPr="00BF4C0E">
        <w:rPr>
          <w:rFonts w:eastAsiaTheme="minorEastAsia"/>
        </w:rPr>
        <w:t>Prime Minister's Office, 10 Downing Street</w:t>
      </w:r>
      <w:r>
        <w:rPr>
          <w:rFonts w:eastAsiaTheme="minorEastAsia"/>
        </w:rPr>
        <w:t xml:space="preserve"> | 8</w:t>
      </w:r>
      <w:r w:rsidRPr="00BF4C0E">
        <w:rPr>
          <w:rFonts w:eastAsiaTheme="minorEastAsia"/>
          <w:vertAlign w:val="superscript"/>
        </w:rPr>
        <w:t>th</w:t>
      </w:r>
      <w:r>
        <w:rPr>
          <w:rFonts w:eastAsiaTheme="minorEastAsia"/>
        </w:rPr>
        <w:t xml:space="preserve"> December 2021</w:t>
      </w:r>
    </w:p>
    <w:p w:rsidR="00BF4C0E" w:rsidRDefault="00BF4C0E" w:rsidP="00A96B6D">
      <w:pPr>
        <w:spacing w:before="200"/>
        <w:rPr>
          <w:rFonts w:eastAsiaTheme="minorEastAsia"/>
        </w:rPr>
      </w:pPr>
      <w:r w:rsidRPr="00BF4C0E">
        <w:rPr>
          <w:rFonts w:eastAsiaTheme="minorEastAsia"/>
        </w:rPr>
        <w:t>The Prime Minister has confirmed that England will move to Plan B following the rapid spread o</w:t>
      </w:r>
      <w:r>
        <w:rPr>
          <w:rFonts w:eastAsiaTheme="minorEastAsia"/>
        </w:rPr>
        <w:t xml:space="preserve">f the Omicron variant in the UK, </w:t>
      </w:r>
      <w:r w:rsidRPr="00BF4C0E">
        <w:rPr>
          <w:rFonts w:eastAsiaTheme="minorEastAsia"/>
        </w:rPr>
        <w:t>with early analysis suggesting cases could be doubling at a rate of as little as 2.5 to 3 days</w:t>
      </w:r>
      <w:r>
        <w:rPr>
          <w:rFonts w:eastAsiaTheme="minorEastAsia"/>
        </w:rPr>
        <w:t>.</w:t>
      </w:r>
    </w:p>
    <w:p w:rsidR="00BF4C0E" w:rsidRPr="00BF4C0E" w:rsidRDefault="00BF4C0E" w:rsidP="00BF4C0E">
      <w:pPr>
        <w:spacing w:before="200"/>
        <w:rPr>
          <w:rFonts w:eastAsiaTheme="minorEastAsia"/>
        </w:rPr>
      </w:pPr>
      <w:r w:rsidRPr="00BF4C0E">
        <w:rPr>
          <w:rFonts w:eastAsiaTheme="minorEastAsia"/>
        </w:rPr>
        <w:t xml:space="preserve">From Friday 10 December, face coverings will become compulsory in most public indoor venues, such as cinemas, theatres and places of worship. There will be exemptions in venues where it is not practical to wear one, such as when you are eating, drinking or exercising. For that reason, </w:t>
      </w:r>
      <w:proofErr w:type="gramStart"/>
      <w:r w:rsidRPr="00BF4C0E">
        <w:rPr>
          <w:rFonts w:eastAsiaTheme="minorEastAsia"/>
        </w:rPr>
        <w:t>face masks</w:t>
      </w:r>
      <w:proofErr w:type="gramEnd"/>
      <w:r w:rsidRPr="00BF4C0E">
        <w:rPr>
          <w:rFonts w:eastAsiaTheme="minorEastAsia"/>
        </w:rPr>
        <w:t xml:space="preserve"> will not be required in hospitality settings.</w:t>
      </w:r>
    </w:p>
    <w:p w:rsidR="00BF4C0E" w:rsidRPr="00BF4C0E" w:rsidRDefault="00BF4C0E" w:rsidP="00BF4C0E">
      <w:pPr>
        <w:spacing w:before="200"/>
        <w:rPr>
          <w:rFonts w:eastAsiaTheme="minorEastAsia"/>
        </w:rPr>
      </w:pPr>
      <w:r w:rsidRPr="00BF4C0E">
        <w:rPr>
          <w:rFonts w:eastAsiaTheme="minorEastAsia"/>
        </w:rPr>
        <w:t xml:space="preserve">From Monday 13 December, those who can </w:t>
      </w:r>
      <w:proofErr w:type="gramStart"/>
      <w:r w:rsidRPr="00BF4C0E">
        <w:rPr>
          <w:rFonts w:eastAsiaTheme="minorEastAsia"/>
        </w:rPr>
        <w:t>will be advised</w:t>
      </w:r>
      <w:proofErr w:type="gramEnd"/>
      <w:r w:rsidRPr="00BF4C0E">
        <w:rPr>
          <w:rFonts w:eastAsiaTheme="minorEastAsia"/>
        </w:rPr>
        <w:t xml:space="preserve"> to work from home.</w:t>
      </w:r>
    </w:p>
    <w:p w:rsidR="00BF4C0E" w:rsidRDefault="00BF4C0E" w:rsidP="00BF4C0E">
      <w:pPr>
        <w:spacing w:before="200"/>
        <w:rPr>
          <w:rFonts w:eastAsiaTheme="minorEastAsia"/>
        </w:rPr>
      </w:pPr>
      <w:r w:rsidRPr="00BF4C0E">
        <w:rPr>
          <w:rFonts w:eastAsiaTheme="minorEastAsia"/>
        </w:rPr>
        <w:t xml:space="preserve">From Wednesday 15 December, and subject to parliamentary approval, the NHS </w:t>
      </w:r>
      <w:proofErr w:type="spellStart"/>
      <w:r w:rsidRPr="00BF4C0E">
        <w:rPr>
          <w:rFonts w:eastAsiaTheme="minorEastAsia"/>
        </w:rPr>
        <w:t>Covid</w:t>
      </w:r>
      <w:proofErr w:type="spellEnd"/>
      <w:r w:rsidRPr="00BF4C0E">
        <w:rPr>
          <w:rFonts w:eastAsiaTheme="minorEastAsia"/>
        </w:rPr>
        <w:t xml:space="preserve"> Pass on the NHS App will become mandatory for entry into nightclubs and settings where large crowds gather – including unseated indoor events with 500 or more attendees, unseated outdoor events with 4,000 or more attendees and any event with 10,000 or more attendees.</w:t>
      </w:r>
    </w:p>
    <w:p w:rsidR="00BF4C0E" w:rsidRPr="00BF4C0E" w:rsidRDefault="00BF4C0E" w:rsidP="00BF4C0E">
      <w:pPr>
        <w:spacing w:before="200"/>
        <w:rPr>
          <w:rFonts w:eastAsiaTheme="minorEastAsia"/>
        </w:rPr>
      </w:pPr>
      <w:r w:rsidRPr="00BF4C0E">
        <w:rPr>
          <w:rFonts w:eastAsiaTheme="minorEastAsia"/>
        </w:rPr>
        <w:t xml:space="preserve">People will be able to demonstrate proof of two vaccine doses via the app. Having considered the evidence since the emergence of Omicron, proof of a negative lateral flow test </w:t>
      </w:r>
      <w:proofErr w:type="gramStart"/>
      <w:r w:rsidRPr="00BF4C0E">
        <w:rPr>
          <w:rFonts w:eastAsiaTheme="minorEastAsia"/>
        </w:rPr>
        <w:t>will also be accepted</w:t>
      </w:r>
      <w:proofErr w:type="gramEnd"/>
      <w:r w:rsidRPr="00BF4C0E">
        <w:rPr>
          <w:rFonts w:eastAsiaTheme="minorEastAsia"/>
        </w:rPr>
        <w:t>.</w:t>
      </w:r>
    </w:p>
    <w:p w:rsidR="00CC08BD" w:rsidRDefault="00BF4C0E" w:rsidP="00A96B6D">
      <w:pPr>
        <w:spacing w:before="200"/>
        <w:rPr>
          <w:rFonts w:eastAsiaTheme="minorEastAsia"/>
        </w:rPr>
      </w:pPr>
      <w:r>
        <w:rPr>
          <w:rFonts w:eastAsiaTheme="minorEastAsia"/>
        </w:rPr>
        <w:t xml:space="preserve">Full detail: </w:t>
      </w:r>
      <w:hyperlink r:id="rId30" w:history="1">
        <w:r w:rsidRPr="00BF4C0E">
          <w:rPr>
            <w:rStyle w:val="Hyperlink"/>
            <w:rFonts w:eastAsiaTheme="minorEastAsia"/>
          </w:rPr>
          <w:t>Prime Minister confirms move to Plan B in England</w:t>
        </w:r>
      </w:hyperlink>
    </w:p>
    <w:p w:rsidR="00CC08BD" w:rsidRDefault="00CC08BD" w:rsidP="00CC08BD">
      <w:pPr>
        <w:spacing w:before="200"/>
        <w:rPr>
          <w:rFonts w:eastAsiaTheme="minorEastAsia"/>
        </w:rPr>
      </w:pPr>
      <w:r w:rsidRPr="00CC08BD">
        <w:rPr>
          <w:rFonts w:eastAsiaTheme="minorEastAsia"/>
        </w:rPr>
        <w:t xml:space="preserve">See also: </w:t>
      </w:r>
    </w:p>
    <w:p w:rsidR="00CC08BD" w:rsidRDefault="00CC08BD" w:rsidP="00CC08BD">
      <w:pPr>
        <w:pStyle w:val="ListParagraph"/>
        <w:numPr>
          <w:ilvl w:val="0"/>
          <w:numId w:val="8"/>
        </w:numPr>
        <w:spacing w:before="200"/>
        <w:rPr>
          <w:rFonts w:eastAsiaTheme="minorEastAsia"/>
        </w:rPr>
      </w:pPr>
      <w:hyperlink r:id="rId31" w:history="1">
        <w:r w:rsidRPr="00CC08BD">
          <w:rPr>
            <w:rStyle w:val="Hyperlink"/>
            <w:rFonts w:eastAsiaTheme="minorEastAsia"/>
          </w:rPr>
          <w:t>Covid-19: Face masks required in more indoor venues in England</w:t>
        </w:r>
      </w:hyperlink>
      <w:r w:rsidRPr="00CC08BD">
        <w:rPr>
          <w:rFonts w:eastAsiaTheme="minorEastAsia"/>
        </w:rPr>
        <w:t>  | BBC News</w:t>
      </w:r>
    </w:p>
    <w:p w:rsidR="007E7D5F" w:rsidRDefault="00CC08BD" w:rsidP="00CC08BD">
      <w:pPr>
        <w:pStyle w:val="ListParagraph"/>
        <w:numPr>
          <w:ilvl w:val="0"/>
          <w:numId w:val="8"/>
        </w:numPr>
        <w:spacing w:before="200"/>
        <w:rPr>
          <w:rFonts w:eastAsiaTheme="minorEastAsia"/>
        </w:rPr>
      </w:pPr>
      <w:hyperlink r:id="rId32" w:history="1">
        <w:r w:rsidRPr="00CC08BD">
          <w:rPr>
            <w:rStyle w:val="Hyperlink"/>
            <w:rFonts w:eastAsiaTheme="minorEastAsia"/>
          </w:rPr>
          <w:t>Stricter measures than plan B may be needed to rein in UK’s Omicron growth</w:t>
        </w:r>
      </w:hyperlink>
      <w:r w:rsidRPr="00CC08BD">
        <w:rPr>
          <w:rFonts w:eastAsiaTheme="minorEastAsia"/>
        </w:rPr>
        <w:t xml:space="preserve"> </w:t>
      </w:r>
      <w:r>
        <w:rPr>
          <w:rFonts w:eastAsiaTheme="minorEastAsia"/>
        </w:rPr>
        <w:t xml:space="preserve">| </w:t>
      </w:r>
      <w:r w:rsidRPr="00CC08BD">
        <w:rPr>
          <w:rFonts w:eastAsiaTheme="minorEastAsia"/>
        </w:rPr>
        <w:t>The Guardian</w:t>
      </w:r>
      <w:r w:rsidR="007E7D5F">
        <w:rPr>
          <w:rFonts w:eastAsiaTheme="minorEastAsia"/>
        </w:rPr>
        <w:br/>
      </w:r>
    </w:p>
    <w:p w:rsidR="007E7D5F" w:rsidRPr="006B3290" w:rsidRDefault="007E7D5F" w:rsidP="007E7D5F">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7E7D5F">
        <w:rPr>
          <w:rFonts w:eastAsiaTheme="minorEastAsia"/>
          <w:caps/>
          <w:spacing w:val="15"/>
        </w:rPr>
        <w:t>Stressing the personal benefits of the covid-19 vaccine might encourage more people to accept it</w:t>
      </w:r>
    </w:p>
    <w:p w:rsidR="007E7D5F" w:rsidRDefault="007E7D5F" w:rsidP="007E7D5F">
      <w:pPr>
        <w:spacing w:before="200"/>
        <w:rPr>
          <w:rFonts w:eastAsiaTheme="minorEastAsia"/>
        </w:rPr>
      </w:pPr>
      <w:r w:rsidRPr="007E7D5F">
        <w:rPr>
          <w:rFonts w:eastAsiaTheme="minorEastAsia"/>
        </w:rPr>
        <w:t xml:space="preserve">BMJ </w:t>
      </w:r>
      <w:r>
        <w:rPr>
          <w:rFonts w:eastAsiaTheme="minorEastAsia"/>
        </w:rPr>
        <w:t xml:space="preserve">| </w:t>
      </w:r>
      <w:r w:rsidRPr="007E7D5F">
        <w:rPr>
          <w:rFonts w:eastAsiaTheme="minorEastAsia"/>
        </w:rPr>
        <w:t>2021;</w:t>
      </w:r>
      <w:r>
        <w:rPr>
          <w:rFonts w:eastAsiaTheme="minorEastAsia"/>
        </w:rPr>
        <w:t xml:space="preserve"> </w:t>
      </w:r>
      <w:r w:rsidRPr="007E7D5F">
        <w:rPr>
          <w:rFonts w:eastAsiaTheme="minorEastAsia"/>
        </w:rPr>
        <w:t>375:</w:t>
      </w:r>
      <w:r>
        <w:rPr>
          <w:rFonts w:eastAsiaTheme="minorEastAsia"/>
        </w:rPr>
        <w:t xml:space="preserve"> </w:t>
      </w:r>
      <w:r w:rsidRPr="007E7D5F">
        <w:rPr>
          <w:rFonts w:eastAsiaTheme="minorEastAsia"/>
        </w:rPr>
        <w:t>n2923</w:t>
      </w:r>
      <w:r>
        <w:rPr>
          <w:rFonts w:eastAsiaTheme="minorEastAsia"/>
        </w:rPr>
        <w:t xml:space="preserve"> | 10</w:t>
      </w:r>
      <w:r w:rsidRPr="007E7D5F">
        <w:rPr>
          <w:rFonts w:eastAsiaTheme="minorEastAsia"/>
          <w:vertAlign w:val="superscript"/>
        </w:rPr>
        <w:t>th</w:t>
      </w:r>
      <w:r>
        <w:rPr>
          <w:rFonts w:eastAsiaTheme="minorEastAsia"/>
        </w:rPr>
        <w:t xml:space="preserve"> December 2021</w:t>
      </w:r>
    </w:p>
    <w:p w:rsidR="007E7D5F" w:rsidRPr="007E7D5F" w:rsidRDefault="007E7D5F" w:rsidP="007E7D5F">
      <w:pPr>
        <w:spacing w:before="200"/>
        <w:rPr>
          <w:rFonts w:eastAsiaTheme="minorEastAsia"/>
        </w:rPr>
      </w:pPr>
      <w:r>
        <w:rPr>
          <w:rFonts w:eastAsiaTheme="minorEastAsia"/>
        </w:rPr>
        <w:t>This article reports on a recent study</w:t>
      </w:r>
      <w:r w:rsidRPr="007E7D5F">
        <w:rPr>
          <w:rFonts w:eastAsiaTheme="minorEastAsia"/>
        </w:rPr>
        <w:t xml:space="preserve"> </w:t>
      </w:r>
      <w:r>
        <w:rPr>
          <w:rFonts w:eastAsiaTheme="minorEastAsia"/>
        </w:rPr>
        <w:t xml:space="preserve">that </w:t>
      </w:r>
      <w:r w:rsidRPr="007E7D5F">
        <w:rPr>
          <w:rFonts w:eastAsiaTheme="minorEastAsia"/>
        </w:rPr>
        <w:t xml:space="preserve">found that among those who were </w:t>
      </w:r>
      <w:r>
        <w:rPr>
          <w:rFonts w:eastAsiaTheme="minorEastAsia"/>
        </w:rPr>
        <w:t>vaccine-</w:t>
      </w:r>
      <w:r w:rsidRPr="007E7D5F">
        <w:rPr>
          <w:rFonts w:eastAsiaTheme="minorEastAsia"/>
        </w:rPr>
        <w:t>hesitant</w:t>
      </w:r>
      <w:r>
        <w:rPr>
          <w:rFonts w:eastAsiaTheme="minorEastAsia"/>
        </w:rPr>
        <w:t>:</w:t>
      </w:r>
    </w:p>
    <w:p w:rsidR="007E7D5F" w:rsidRPr="007E7D5F" w:rsidRDefault="007E7D5F" w:rsidP="007E7D5F">
      <w:pPr>
        <w:numPr>
          <w:ilvl w:val="0"/>
          <w:numId w:val="12"/>
        </w:numPr>
        <w:spacing w:before="200"/>
        <w:rPr>
          <w:rFonts w:eastAsiaTheme="minorEastAsia"/>
        </w:rPr>
      </w:pPr>
      <w:r w:rsidRPr="007E7D5F">
        <w:rPr>
          <w:rFonts w:eastAsiaTheme="minorEastAsia"/>
        </w:rPr>
        <w:t xml:space="preserve">The most effective way to reduce hesitancy was extra information about the personal benefits of vaccination (prevention of serious illness or long </w:t>
      </w:r>
      <w:proofErr w:type="spellStart"/>
      <w:r w:rsidRPr="007E7D5F">
        <w:rPr>
          <w:rFonts w:eastAsiaTheme="minorEastAsia"/>
        </w:rPr>
        <w:t>covid</w:t>
      </w:r>
      <w:proofErr w:type="spellEnd"/>
      <w:r w:rsidRPr="007E7D5F">
        <w:rPr>
          <w:rFonts w:eastAsiaTheme="minorEastAsia"/>
        </w:rPr>
        <w:t>)</w:t>
      </w:r>
    </w:p>
    <w:p w:rsidR="007E7D5F" w:rsidRPr="007E7D5F" w:rsidRDefault="007E7D5F" w:rsidP="007E7D5F">
      <w:pPr>
        <w:numPr>
          <w:ilvl w:val="0"/>
          <w:numId w:val="12"/>
        </w:numPr>
        <w:spacing w:before="200"/>
        <w:rPr>
          <w:rFonts w:eastAsiaTheme="minorEastAsia"/>
        </w:rPr>
      </w:pPr>
      <w:r w:rsidRPr="007E7D5F">
        <w:rPr>
          <w:rFonts w:eastAsiaTheme="minorEastAsia"/>
        </w:rPr>
        <w:t>Information on the safety of the vaccines, addressing concerns about the speed of development, had some, but less, effect on the views of people who were hesitant</w:t>
      </w:r>
    </w:p>
    <w:p w:rsidR="007E7D5F" w:rsidRPr="007E7D5F" w:rsidRDefault="007E7D5F" w:rsidP="007E7D5F">
      <w:pPr>
        <w:numPr>
          <w:ilvl w:val="0"/>
          <w:numId w:val="12"/>
        </w:numPr>
        <w:spacing w:before="200"/>
        <w:rPr>
          <w:rFonts w:eastAsiaTheme="minorEastAsia"/>
        </w:rPr>
      </w:pPr>
      <w:r w:rsidRPr="007E7D5F">
        <w:rPr>
          <w:rFonts w:eastAsiaTheme="minorEastAsia"/>
        </w:rPr>
        <w:t>Information about the collective benefit of vaccination was less persuasive</w:t>
      </w:r>
    </w:p>
    <w:p w:rsidR="007E7D5F" w:rsidRDefault="007E7D5F" w:rsidP="007E7D5F">
      <w:pPr>
        <w:numPr>
          <w:ilvl w:val="0"/>
          <w:numId w:val="12"/>
        </w:numPr>
        <w:spacing w:before="200"/>
        <w:rPr>
          <w:rFonts w:eastAsiaTheme="minorEastAsia"/>
        </w:rPr>
      </w:pPr>
      <w:r w:rsidRPr="007E7D5F">
        <w:rPr>
          <w:rFonts w:eastAsiaTheme="minorEastAsia"/>
        </w:rPr>
        <w:t>Information about personal benefit alone was more effective than a combination of personal and collective benefit.</w:t>
      </w:r>
    </w:p>
    <w:p w:rsidR="007E7D5F" w:rsidRDefault="007E7D5F" w:rsidP="007E7D5F">
      <w:pPr>
        <w:spacing w:before="200"/>
        <w:rPr>
          <w:rFonts w:eastAsiaTheme="minorEastAsia"/>
        </w:rPr>
      </w:pPr>
      <w:r>
        <w:rPr>
          <w:rFonts w:eastAsiaTheme="minorEastAsia"/>
        </w:rPr>
        <w:t xml:space="preserve">Full detail: </w:t>
      </w:r>
      <w:hyperlink r:id="rId33" w:history="1">
        <w:r w:rsidR="00217D3D" w:rsidRPr="00217D3D">
          <w:rPr>
            <w:rStyle w:val="Hyperlink"/>
            <w:rFonts w:eastAsiaTheme="minorEastAsia"/>
          </w:rPr>
          <w:t>Stressing the personal benefits of the covid-19 vaccine might encourage more people to accept it</w:t>
        </w:r>
      </w:hyperlink>
    </w:p>
    <w:p w:rsidR="00217D3D" w:rsidRPr="00217D3D" w:rsidRDefault="00217D3D" w:rsidP="00217D3D">
      <w:pPr>
        <w:spacing w:before="200"/>
        <w:rPr>
          <w:rFonts w:eastAsiaTheme="minorEastAsia"/>
        </w:rPr>
      </w:pPr>
      <w:r>
        <w:rPr>
          <w:rFonts w:eastAsiaTheme="minorEastAsia"/>
        </w:rPr>
        <w:t xml:space="preserve">Related study: </w:t>
      </w:r>
      <w:hyperlink r:id="rId34" w:history="1">
        <w:r w:rsidRPr="00217D3D">
          <w:rPr>
            <w:rStyle w:val="Hyperlink"/>
            <w:rFonts w:eastAsiaTheme="minorEastAsia"/>
          </w:rPr>
          <w:t>Effects of different types of written vaccination information on COVID-19 vaccine hesitancy in the UK (OCEANS-III): a single-blind, parallel-group, randomised controlled trial</w:t>
        </w:r>
      </w:hyperlink>
      <w:r>
        <w:rPr>
          <w:rFonts w:eastAsiaTheme="minorEastAsia"/>
        </w:rPr>
        <w:t xml:space="preserve"> | The Lancet Public Health</w:t>
      </w:r>
    </w:p>
    <w:p w:rsidR="00217D3D" w:rsidRDefault="00217D3D" w:rsidP="00217D3D">
      <w:pPr>
        <w:spacing w:before="200"/>
        <w:rPr>
          <w:rFonts w:eastAsiaTheme="minorEastAsia"/>
          <w:bCs/>
        </w:rPr>
      </w:pPr>
      <w:r>
        <w:rPr>
          <w:rFonts w:eastAsiaTheme="minorEastAsia"/>
        </w:rPr>
        <w:t xml:space="preserve">See </w:t>
      </w:r>
      <w:proofErr w:type="gramStart"/>
      <w:r>
        <w:rPr>
          <w:rFonts w:eastAsiaTheme="minorEastAsia"/>
        </w:rPr>
        <w:t>also:</w:t>
      </w:r>
      <w:proofErr w:type="gramEnd"/>
      <w:r>
        <w:rPr>
          <w:rFonts w:eastAsiaTheme="minorEastAsia"/>
        </w:rPr>
        <w:t xml:space="preserve"> </w:t>
      </w:r>
      <w:hyperlink r:id="rId35" w:history="1">
        <w:r w:rsidRPr="00217D3D">
          <w:rPr>
            <w:rStyle w:val="Hyperlink"/>
            <w:rFonts w:eastAsiaTheme="minorEastAsia"/>
            <w:bCs/>
          </w:rPr>
          <w:t>Stressing the personal benefits of the COVID-19 vaccine could encourage more people to accept</w:t>
        </w:r>
      </w:hyperlink>
      <w:r>
        <w:rPr>
          <w:rFonts w:eastAsiaTheme="minorEastAsia"/>
          <w:bCs/>
        </w:rPr>
        <w:t xml:space="preserve"> | National Institute for Health Research</w:t>
      </w:r>
      <w:r>
        <w:rPr>
          <w:rFonts w:eastAsiaTheme="minorEastAsia"/>
          <w:bCs/>
        </w:rPr>
        <w:br/>
      </w:r>
    </w:p>
    <w:p w:rsidR="007E4F47" w:rsidRPr="00A96B6D" w:rsidRDefault="007E4F47" w:rsidP="00A96B6D">
      <w:pPr>
        <w:spacing w:before="200"/>
        <w:rPr>
          <w:rFonts w:eastAsiaTheme="minorEastAsia"/>
        </w:rPr>
      </w:pPr>
    </w:p>
    <w:p w:rsidR="002F29D4" w:rsidRPr="00785978" w:rsidRDefault="002F29D4" w:rsidP="002F29D4">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Cs/>
          <w:caps/>
          <w:color w:val="FFFFFF" w:themeColor="background1"/>
          <w:spacing w:val="15"/>
        </w:rPr>
      </w:pPr>
      <w:r w:rsidRPr="00785978">
        <w:rPr>
          <w:rFonts w:ascii="Dotum" w:eastAsiaTheme="minorEastAsia" w:hAnsi="Dotum"/>
          <w:bCs/>
          <w:caps/>
          <w:color w:val="FFFFFF" w:themeColor="background1"/>
          <w:spacing w:val="15"/>
        </w:rPr>
        <w:t>workforce wellbeing</w:t>
      </w:r>
    </w:p>
    <w:p w:rsidR="003242BD" w:rsidRPr="003242BD" w:rsidRDefault="003242BD" w:rsidP="003242BD">
      <w:pPr>
        <w:pBdr>
          <w:top w:val="single" w:sz="6" w:space="2" w:color="D4802C"/>
          <w:left w:val="single" w:sz="6" w:space="2" w:color="D4802C"/>
        </w:pBdr>
        <w:spacing w:before="300"/>
        <w:outlineLvl w:val="2"/>
        <w:rPr>
          <w:rFonts w:ascii="Calibri" w:eastAsia="Times New Roman" w:hAnsi="Calibri" w:cs="Times New Roman"/>
        </w:rPr>
      </w:pPr>
      <w:r w:rsidRPr="003242BD">
        <w:rPr>
          <w:rFonts w:ascii="Calibri" w:eastAsia="Times New Roman" w:hAnsi="Calibri" w:cs="Times New Roman"/>
          <w:b/>
          <w:caps/>
          <w:spacing w:val="15"/>
        </w:rPr>
        <w:t>Title:</w:t>
      </w:r>
      <w:r w:rsidRPr="003242BD">
        <w:rPr>
          <w:rFonts w:ascii="Calibri" w:eastAsia="Times New Roman" w:hAnsi="Calibri" w:cs="Times New Roman"/>
          <w:caps/>
          <w:spacing w:val="15"/>
        </w:rPr>
        <w:t xml:space="preserve"> Busiest November ever as new figures show pressures on NHS staff</w:t>
      </w:r>
    </w:p>
    <w:p w:rsidR="003242BD" w:rsidRPr="003242BD" w:rsidRDefault="003242BD" w:rsidP="003242BD">
      <w:pPr>
        <w:spacing w:before="200"/>
        <w:rPr>
          <w:rFonts w:ascii="Calibri" w:eastAsia="Times New Roman" w:hAnsi="Calibri" w:cs="Times New Roman"/>
          <w:bCs/>
        </w:rPr>
      </w:pPr>
      <w:r w:rsidRPr="003242BD">
        <w:rPr>
          <w:rFonts w:ascii="Calibri" w:eastAsia="Times New Roman" w:hAnsi="Calibri" w:cs="Times New Roman"/>
          <w:bCs/>
        </w:rPr>
        <w:t>NHS England | 9</w:t>
      </w:r>
      <w:r w:rsidRPr="003242BD">
        <w:rPr>
          <w:rFonts w:ascii="Calibri" w:eastAsia="Times New Roman" w:hAnsi="Calibri" w:cs="Times New Roman"/>
          <w:bCs/>
          <w:vertAlign w:val="superscript"/>
        </w:rPr>
        <w:t>th</w:t>
      </w:r>
      <w:r w:rsidRPr="003242BD">
        <w:rPr>
          <w:rFonts w:ascii="Calibri" w:eastAsia="Times New Roman" w:hAnsi="Calibri" w:cs="Times New Roman"/>
          <w:bCs/>
        </w:rPr>
        <w:t xml:space="preserve"> December 2021</w:t>
      </w:r>
    </w:p>
    <w:p w:rsidR="003242BD" w:rsidRPr="003242BD" w:rsidRDefault="003242BD" w:rsidP="003242BD">
      <w:pPr>
        <w:spacing w:before="200"/>
        <w:rPr>
          <w:rFonts w:ascii="Calibri" w:eastAsia="Times New Roman" w:hAnsi="Calibri" w:cs="Times New Roman"/>
        </w:rPr>
      </w:pPr>
      <w:r w:rsidRPr="003242BD">
        <w:rPr>
          <w:rFonts w:ascii="Calibri" w:eastAsia="Times New Roman" w:hAnsi="Calibri" w:cs="Times New Roman"/>
          <w:bCs/>
        </w:rPr>
        <w:t>NHS staff answered the highest number of 999 calls for any November on record, an average of around one every three seconds, new figures have revealed.</w:t>
      </w:r>
    </w:p>
    <w:p w:rsidR="003242BD" w:rsidRPr="003242BD" w:rsidRDefault="003242BD" w:rsidP="003242BD">
      <w:pPr>
        <w:spacing w:before="200"/>
        <w:rPr>
          <w:rFonts w:ascii="Calibri" w:eastAsia="Times New Roman" w:hAnsi="Calibri" w:cs="Times New Roman"/>
        </w:rPr>
      </w:pPr>
      <w:r w:rsidRPr="003242BD">
        <w:rPr>
          <w:rFonts w:ascii="Calibri" w:eastAsia="Times New Roman" w:hAnsi="Calibri" w:cs="Times New Roman"/>
        </w:rPr>
        <w:t>Last month was also the second busiest November on record for A&amp;E with more than two million patients seen at emergency departments and urgent treatment centres. That was up by half a million on the same time last year.</w:t>
      </w:r>
    </w:p>
    <w:p w:rsidR="003242BD" w:rsidRPr="003242BD" w:rsidRDefault="003242BD" w:rsidP="003242BD">
      <w:pPr>
        <w:spacing w:before="200"/>
        <w:rPr>
          <w:rFonts w:ascii="Calibri" w:eastAsia="Times New Roman" w:hAnsi="Calibri" w:cs="Times New Roman"/>
        </w:rPr>
      </w:pPr>
      <w:r w:rsidRPr="003242BD">
        <w:rPr>
          <w:rFonts w:ascii="Calibri" w:eastAsia="Times New Roman" w:hAnsi="Calibri" w:cs="Times New Roman"/>
        </w:rPr>
        <w:t>Demand for NHS 111 services also remained high, with almost 1.4 million calls answered during November, the latest available figures show.</w:t>
      </w:r>
    </w:p>
    <w:p w:rsidR="003242BD" w:rsidRPr="003242BD" w:rsidRDefault="003242BD" w:rsidP="003242BD">
      <w:pPr>
        <w:spacing w:before="200"/>
        <w:rPr>
          <w:rFonts w:ascii="Calibri" w:eastAsia="Times New Roman" w:hAnsi="Calibri" w:cs="Times New Roman"/>
        </w:rPr>
      </w:pPr>
      <w:r w:rsidRPr="003242BD">
        <w:rPr>
          <w:rFonts w:ascii="Calibri" w:eastAsia="Times New Roman" w:hAnsi="Calibri" w:cs="Times New Roman"/>
        </w:rPr>
        <w:t>NHS staff are continuing to make progress on elective activity with almost 150,000 more people starting elective treatment in October compared to the same month last year.</w:t>
      </w:r>
    </w:p>
    <w:p w:rsidR="003242BD" w:rsidRPr="003242BD" w:rsidRDefault="003242BD" w:rsidP="003242BD">
      <w:pPr>
        <w:spacing w:before="200"/>
        <w:rPr>
          <w:rFonts w:ascii="Calibri" w:eastAsia="Times New Roman" w:hAnsi="Calibri" w:cs="Times New Roman"/>
        </w:rPr>
      </w:pPr>
      <w:r w:rsidRPr="003242BD">
        <w:rPr>
          <w:rFonts w:ascii="Calibri" w:eastAsia="Times New Roman" w:hAnsi="Calibri" w:cs="Times New Roman"/>
        </w:rPr>
        <w:t>Patients on the waiting list are prioritised based on their need and at the end of October, were waiting an average of 12 weeks to begin treatment, compared to a high of 19.6 weeks on average in July last year.</w:t>
      </w:r>
    </w:p>
    <w:p w:rsidR="003242BD" w:rsidRPr="003242BD" w:rsidRDefault="003242BD" w:rsidP="003242BD">
      <w:pPr>
        <w:spacing w:before="200"/>
        <w:rPr>
          <w:rFonts w:ascii="Calibri" w:eastAsia="Times New Roman" w:hAnsi="Calibri" w:cs="Times New Roman"/>
        </w:rPr>
      </w:pPr>
      <w:r w:rsidRPr="003242BD">
        <w:rPr>
          <w:rFonts w:ascii="Calibri" w:eastAsia="Times New Roman" w:hAnsi="Calibri" w:cs="Times New Roman"/>
        </w:rPr>
        <w:t>The data comes as cases of Omicron increase throughout the country, and the NHS is urging the public to get their booster when invited.</w:t>
      </w:r>
    </w:p>
    <w:p w:rsidR="003242BD" w:rsidRPr="003242BD" w:rsidRDefault="003242BD" w:rsidP="003242BD">
      <w:pPr>
        <w:spacing w:before="200"/>
        <w:rPr>
          <w:rFonts w:ascii="Calibri" w:eastAsia="Times New Roman" w:hAnsi="Calibri" w:cs="Times New Roman"/>
        </w:rPr>
      </w:pPr>
      <w:r w:rsidRPr="003242BD">
        <w:rPr>
          <w:rFonts w:ascii="Calibri" w:eastAsia="Times New Roman" w:hAnsi="Calibri" w:cs="Times New Roman"/>
        </w:rPr>
        <w:t xml:space="preserve">Full detail: </w:t>
      </w:r>
      <w:hyperlink r:id="rId36" w:history="1">
        <w:r w:rsidRPr="003242BD">
          <w:rPr>
            <w:rFonts w:ascii="Calibri" w:eastAsia="Times New Roman" w:hAnsi="Calibri" w:cs="Times New Roman"/>
            <w:color w:val="0000FF" w:themeColor="hyperlink"/>
            <w:u w:val="single"/>
          </w:rPr>
          <w:t>Busiest November ever as new figures show pressures on NHS staff</w:t>
        </w:r>
      </w:hyperlink>
    </w:p>
    <w:p w:rsidR="003242BD" w:rsidRDefault="003242BD" w:rsidP="003242BD">
      <w:pPr>
        <w:spacing w:before="200"/>
        <w:rPr>
          <w:rFonts w:ascii="Calibri" w:eastAsia="Times New Roman" w:hAnsi="Calibri" w:cs="Times New Roman"/>
        </w:rPr>
      </w:pPr>
      <w:r w:rsidRPr="003242BD">
        <w:rPr>
          <w:rFonts w:ascii="Calibri" w:eastAsia="Times New Roman" w:hAnsi="Calibri" w:cs="Times New Roman"/>
        </w:rPr>
        <w:t xml:space="preserve">See also: </w:t>
      </w:r>
    </w:p>
    <w:p w:rsidR="003242BD" w:rsidRDefault="003242BD" w:rsidP="003242BD">
      <w:pPr>
        <w:pStyle w:val="ListParagraph"/>
        <w:numPr>
          <w:ilvl w:val="0"/>
          <w:numId w:val="9"/>
        </w:numPr>
        <w:spacing w:before="200"/>
        <w:rPr>
          <w:rFonts w:ascii="Calibri" w:eastAsia="Times New Roman" w:hAnsi="Calibri" w:cs="Times New Roman"/>
        </w:rPr>
      </w:pPr>
      <w:hyperlink r:id="rId37" w:history="1">
        <w:r w:rsidRPr="003242BD">
          <w:rPr>
            <w:rFonts w:ascii="Calibri" w:eastAsia="Times New Roman" w:hAnsi="Calibri" w:cs="Times New Roman"/>
            <w:color w:val="0000FF" w:themeColor="hyperlink"/>
            <w:u w:val="single"/>
          </w:rPr>
          <w:t>Almost 6 million people on waiting lists for NHS surgery in England</w:t>
        </w:r>
      </w:hyperlink>
      <w:r w:rsidRPr="003242BD">
        <w:rPr>
          <w:rFonts w:ascii="Calibri" w:eastAsia="Times New Roman" w:hAnsi="Calibri" w:cs="Times New Roman"/>
        </w:rPr>
        <w:t> | The Guardian</w:t>
      </w:r>
    </w:p>
    <w:p w:rsidR="003242BD" w:rsidRPr="00F9499F" w:rsidRDefault="003242BD" w:rsidP="008B56B5">
      <w:pPr>
        <w:pStyle w:val="ListParagraph"/>
        <w:numPr>
          <w:ilvl w:val="0"/>
          <w:numId w:val="9"/>
        </w:numPr>
        <w:spacing w:before="200"/>
        <w:rPr>
          <w:rFonts w:eastAsiaTheme="minorEastAsia"/>
        </w:rPr>
      </w:pPr>
      <w:hyperlink r:id="rId38" w:history="1">
        <w:r w:rsidRPr="00F9499F">
          <w:rPr>
            <w:rStyle w:val="Hyperlink"/>
            <w:rFonts w:ascii="Calibri" w:eastAsia="Times New Roman" w:hAnsi="Calibri" w:cs="Times New Roman"/>
          </w:rPr>
          <w:t>Health Foundation highlights need for a credible and realistic strategy to bring NHS waiting lists down</w:t>
        </w:r>
      </w:hyperlink>
      <w:r w:rsidR="00F9499F">
        <w:rPr>
          <w:rFonts w:ascii="Calibri" w:eastAsia="Times New Roman" w:hAnsi="Calibri" w:cs="Times New Roman"/>
        </w:rPr>
        <w:br/>
      </w:r>
    </w:p>
    <w:p w:rsidR="007E4F47" w:rsidRDefault="00A30349" w:rsidP="007E4F47">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A10292" w:rsidRPr="00A10292">
        <w:rPr>
          <w:rFonts w:eastAsiaTheme="minorEastAsia"/>
          <w:caps/>
          <w:spacing w:val="15"/>
        </w:rPr>
        <w:t>Funding to extend research into impact of COVID-19 on nurse and midwife wellbeing</w:t>
      </w:r>
    </w:p>
    <w:p w:rsidR="00A10292" w:rsidRDefault="00F9499F" w:rsidP="00DB6FA0">
      <w:pPr>
        <w:spacing w:before="200"/>
        <w:rPr>
          <w:rFonts w:eastAsiaTheme="minorEastAsia"/>
        </w:rPr>
      </w:pPr>
      <w:r>
        <w:rPr>
          <w:rFonts w:eastAsiaTheme="minorEastAsia"/>
        </w:rPr>
        <w:t>King’s College London | 3</w:t>
      </w:r>
      <w:r w:rsidRPr="00F9499F">
        <w:rPr>
          <w:rFonts w:eastAsiaTheme="minorEastAsia"/>
          <w:vertAlign w:val="superscript"/>
        </w:rPr>
        <w:t>rd</w:t>
      </w:r>
      <w:r>
        <w:rPr>
          <w:rFonts w:eastAsiaTheme="minorEastAsia"/>
        </w:rPr>
        <w:t xml:space="preserve"> December 2021</w:t>
      </w:r>
    </w:p>
    <w:p w:rsidR="00A10292" w:rsidRPr="00A10292" w:rsidRDefault="00A10292" w:rsidP="00A10292">
      <w:pPr>
        <w:spacing w:before="200"/>
        <w:rPr>
          <w:rFonts w:eastAsiaTheme="minorEastAsia"/>
        </w:rPr>
      </w:pPr>
      <w:r w:rsidRPr="00A10292">
        <w:rPr>
          <w:rFonts w:eastAsiaTheme="minorEastAsia"/>
        </w:rPr>
        <w:t xml:space="preserve">A team of experts including researchers from King’s College </w:t>
      </w:r>
      <w:proofErr w:type="gramStart"/>
      <w:r w:rsidRPr="00A10292">
        <w:rPr>
          <w:rFonts w:eastAsiaTheme="minorEastAsia"/>
        </w:rPr>
        <w:t>London,</w:t>
      </w:r>
      <w:proofErr w:type="gramEnd"/>
      <w:r w:rsidRPr="00A10292">
        <w:rPr>
          <w:rFonts w:eastAsiaTheme="minorEastAsia"/>
        </w:rPr>
        <w:t xml:space="preserve"> have received additional funding to extend their previous work examining the impact of COVID-19 on the mental health of nurses, midwives and other health care assistants.</w:t>
      </w:r>
    </w:p>
    <w:p w:rsidR="00A10292" w:rsidRPr="00A10292" w:rsidRDefault="00A10292" w:rsidP="00A10292">
      <w:pPr>
        <w:spacing w:before="200"/>
        <w:rPr>
          <w:rFonts w:eastAsiaTheme="minorEastAsia"/>
        </w:rPr>
      </w:pPr>
      <w:r w:rsidRPr="00A10292">
        <w:rPr>
          <w:rFonts w:eastAsiaTheme="minorEastAsia"/>
        </w:rPr>
        <w:t xml:space="preserve">The Colt Foundation has awarded nearly £60,000 to enable further interviews to </w:t>
      </w:r>
      <w:proofErr w:type="gramStart"/>
      <w:r w:rsidRPr="00A10292">
        <w:rPr>
          <w:rFonts w:eastAsiaTheme="minorEastAsia"/>
        </w:rPr>
        <w:t>be conducted</w:t>
      </w:r>
      <w:proofErr w:type="gramEnd"/>
      <w:r w:rsidRPr="00A10292">
        <w:rPr>
          <w:rFonts w:eastAsiaTheme="minorEastAsia"/>
        </w:rPr>
        <w:t xml:space="preserve"> as part of the ICON (Impact of COVID on Nurses) interview study so that the ongoing impact of the pandemic on nurses can be evaluated and mitigations identified.</w:t>
      </w:r>
    </w:p>
    <w:p w:rsidR="00A10292" w:rsidRDefault="00A10292" w:rsidP="00DB6FA0">
      <w:pPr>
        <w:spacing w:before="200"/>
        <w:rPr>
          <w:rFonts w:eastAsiaTheme="minorEastAsia"/>
        </w:rPr>
      </w:pPr>
      <w:r w:rsidRPr="00A10292">
        <w:rPr>
          <w:rFonts w:eastAsiaTheme="minorEastAsia"/>
        </w:rPr>
        <w:t xml:space="preserve">The ICON interview study, initially funded by the Burdett Trust and Florence Nightingale Foundation, began in 2020 with a first round of in-depth interviews with 27 nurses after the first wave of COVID-19 in July </w:t>
      </w:r>
      <w:proofErr w:type="gramStart"/>
      <w:r w:rsidRPr="00A10292">
        <w:rPr>
          <w:rFonts w:eastAsiaTheme="minorEastAsia"/>
        </w:rPr>
        <w:t>2020 which</w:t>
      </w:r>
      <w:proofErr w:type="gramEnd"/>
      <w:r w:rsidRPr="00A10292">
        <w:rPr>
          <w:rFonts w:eastAsiaTheme="minorEastAsia"/>
        </w:rPr>
        <w:t xml:space="preserve"> were repeated in December 2020. Health care assistants, registered nurses, registered midwives, and those re-deployed to COVID areas spoke about their experiences of working through the pandemic, often revealing emotional distress like anxiety, frustration, guilt and inner turmoil. High levels of burnout and Post Traumatic Stress Disorder (PTSD) </w:t>
      </w:r>
      <w:proofErr w:type="gramStart"/>
      <w:r w:rsidRPr="00A10292">
        <w:rPr>
          <w:rFonts w:eastAsiaTheme="minorEastAsia"/>
        </w:rPr>
        <w:t>were reported</w:t>
      </w:r>
      <w:proofErr w:type="gramEnd"/>
      <w:r w:rsidRPr="00A10292">
        <w:rPr>
          <w:rFonts w:eastAsiaTheme="minorEastAsia"/>
        </w:rPr>
        <w:t>,</w:t>
      </w:r>
      <w:r w:rsidR="00D86E0D">
        <w:rPr>
          <w:rFonts w:eastAsiaTheme="minorEastAsia"/>
        </w:rPr>
        <w:t xml:space="preserve"> both of which affect nurses’ ex</w:t>
      </w:r>
      <w:bookmarkStart w:id="1" w:name="_GoBack"/>
      <w:bookmarkEnd w:id="1"/>
      <w:r w:rsidRPr="00A10292">
        <w:rPr>
          <w:rFonts w:eastAsiaTheme="minorEastAsia"/>
        </w:rPr>
        <w:t>periences at work and influence their ability to provide compassionate care.</w:t>
      </w:r>
    </w:p>
    <w:p w:rsidR="001F7CEE" w:rsidRDefault="00A10292" w:rsidP="00DB6FA0">
      <w:pPr>
        <w:spacing w:before="200"/>
        <w:rPr>
          <w:rFonts w:eastAsiaTheme="minorEastAsia"/>
        </w:rPr>
      </w:pPr>
      <w:r>
        <w:rPr>
          <w:rFonts w:eastAsiaTheme="minorEastAsia"/>
        </w:rPr>
        <w:t xml:space="preserve">Full detail: </w:t>
      </w:r>
      <w:hyperlink r:id="rId39" w:history="1">
        <w:r w:rsidRPr="00A10292">
          <w:rPr>
            <w:rStyle w:val="Hyperlink"/>
            <w:rFonts w:eastAsiaTheme="minorEastAsia"/>
          </w:rPr>
          <w:t>Funding to extend research into impact of COVID-19 on nurse and midwife wellbeing</w:t>
        </w:r>
      </w:hyperlink>
      <w:r w:rsidR="001F7CEE">
        <w:rPr>
          <w:rFonts w:eastAsiaTheme="minorEastAsia"/>
        </w:rPr>
        <w:br/>
      </w:r>
    </w:p>
    <w:p w:rsidR="00C3787B" w:rsidRDefault="00C3787B" w:rsidP="00C3787B">
      <w:pPr>
        <w:spacing w:before="200"/>
        <w:rPr>
          <w:rFonts w:eastAsiaTheme="minorEastAsia"/>
        </w:rPr>
      </w:pPr>
    </w:p>
    <w:p w:rsidR="00627D72" w:rsidRPr="00785978" w:rsidRDefault="002F29D4" w:rsidP="00627D72">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Cs/>
          <w:caps/>
          <w:color w:val="FFFFFF" w:themeColor="background1"/>
          <w:spacing w:val="15"/>
        </w:rPr>
      </w:pPr>
      <w:r w:rsidRPr="00785978">
        <w:rPr>
          <w:rFonts w:ascii="Dotum" w:eastAsiaTheme="minorEastAsia" w:hAnsi="Dotum"/>
          <w:bCs/>
          <w:caps/>
          <w:color w:val="FFFFFF" w:themeColor="background1"/>
          <w:spacing w:val="15"/>
        </w:rPr>
        <w:t>other</w:t>
      </w:r>
    </w:p>
    <w:p w:rsidR="00474016" w:rsidRDefault="00474016" w:rsidP="00474016">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474016">
        <w:rPr>
          <w:rFonts w:eastAsiaTheme="minorEastAsia"/>
          <w:caps/>
          <w:spacing w:val="15"/>
        </w:rPr>
        <w:t>What has happened to non-COVID mortality during the pandemic?</w:t>
      </w:r>
    </w:p>
    <w:p w:rsidR="00474016" w:rsidRDefault="00474016" w:rsidP="00474016">
      <w:pPr>
        <w:spacing w:before="200"/>
        <w:rPr>
          <w:rFonts w:eastAsiaTheme="minorEastAsia"/>
        </w:rPr>
      </w:pPr>
      <w:r>
        <w:rPr>
          <w:rFonts w:eastAsiaTheme="minorEastAsia"/>
        </w:rPr>
        <w:t>The Health Foundation | 6</w:t>
      </w:r>
      <w:r w:rsidRPr="00474016">
        <w:rPr>
          <w:rFonts w:eastAsiaTheme="minorEastAsia"/>
          <w:vertAlign w:val="superscript"/>
        </w:rPr>
        <w:t>th</w:t>
      </w:r>
      <w:r>
        <w:rPr>
          <w:rFonts w:eastAsiaTheme="minorEastAsia"/>
        </w:rPr>
        <w:t xml:space="preserve"> December 2021</w:t>
      </w:r>
    </w:p>
    <w:p w:rsidR="00474016" w:rsidRDefault="00474016" w:rsidP="00474016">
      <w:pPr>
        <w:spacing w:before="200"/>
        <w:rPr>
          <w:rFonts w:eastAsiaTheme="minorEastAsia"/>
        </w:rPr>
      </w:pPr>
      <w:r w:rsidRPr="00474016">
        <w:rPr>
          <w:rFonts w:eastAsiaTheme="minorEastAsia"/>
        </w:rPr>
        <w:t>In England, deaths from causes other than COVID-19 have been lower than usual for 80% of the pandemic. In January to September 2021, this was equivalent to about 34,000 (or 9%) fewer deaths than we would expect, based on historical mortality patterns. This analysis explores some of the questions arising from this reduction</w:t>
      </w:r>
      <w:r>
        <w:rPr>
          <w:rFonts w:eastAsiaTheme="minorEastAsia"/>
        </w:rPr>
        <w:t>.</w:t>
      </w:r>
    </w:p>
    <w:p w:rsidR="00930E75" w:rsidRDefault="00474016" w:rsidP="00E84B8A">
      <w:pPr>
        <w:spacing w:before="200"/>
        <w:rPr>
          <w:rStyle w:val="Hyperlink"/>
          <w:rFonts w:eastAsiaTheme="minorEastAsia"/>
        </w:rPr>
      </w:pPr>
      <w:r>
        <w:rPr>
          <w:rFonts w:eastAsiaTheme="minorEastAsia"/>
        </w:rPr>
        <w:t xml:space="preserve">Full detail: </w:t>
      </w:r>
      <w:hyperlink r:id="rId40" w:history="1">
        <w:r w:rsidRPr="00474016">
          <w:rPr>
            <w:rStyle w:val="Hyperlink"/>
            <w:rFonts w:eastAsiaTheme="minorEastAsia"/>
          </w:rPr>
          <w:t>What has happened to non-COVID mortality during the pandemic?</w:t>
        </w:r>
      </w:hyperlink>
      <w:r w:rsidR="00F9499F">
        <w:rPr>
          <w:rStyle w:val="Hyperlink"/>
          <w:rFonts w:eastAsiaTheme="minorEastAsia"/>
        </w:rPr>
        <w:br/>
      </w:r>
      <w:r w:rsidR="00F9499F">
        <w:rPr>
          <w:rStyle w:val="Hyperlink"/>
          <w:rFonts w:eastAsiaTheme="minorEastAsia"/>
        </w:rPr>
        <w:br/>
      </w:r>
    </w:p>
    <w:p w:rsidR="00F9499F" w:rsidRDefault="00F9499F" w:rsidP="00E84B8A">
      <w:pPr>
        <w:spacing w:before="200"/>
        <w:rPr>
          <w:rStyle w:val="Hyperlink"/>
          <w:rFonts w:eastAsiaTheme="minorEastAsia"/>
        </w:rPr>
      </w:pPr>
    </w:p>
    <w:p w:rsidR="00F9499F" w:rsidRDefault="005159E5" w:rsidP="00E84B8A">
      <w:pPr>
        <w:spacing w:before="200"/>
      </w:pPr>
      <w:r>
        <w:rPr>
          <w:noProof/>
          <w:lang w:eastAsia="en-GB"/>
        </w:rPr>
        <mc:AlternateContent>
          <mc:Choice Requires="wps">
            <w:drawing>
              <wp:anchor distT="0" distB="0" distL="114300" distR="114300" simplePos="0" relativeHeight="251659264" behindDoc="0" locked="0" layoutInCell="1" allowOverlap="1" wp14:anchorId="36EFB5D5" wp14:editId="251F6EC4">
                <wp:simplePos x="0" y="0"/>
                <wp:positionH relativeFrom="column">
                  <wp:posOffset>-2181225</wp:posOffset>
                </wp:positionH>
                <wp:positionV relativeFrom="paragraph">
                  <wp:posOffset>1258570</wp:posOffset>
                </wp:positionV>
                <wp:extent cx="10134600" cy="27241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0134600" cy="272415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10292" w:rsidRDefault="00A10292"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EFB5D5" id="Rectangle 5" o:spid="_x0000_s1028" style="position:absolute;margin-left:-171.75pt;margin-top:99.1pt;width:798pt;height:2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" filled="f" strokecolor="#8a0000" strokeweight="2pt">
                <v:textbox>
                  <w:txbxContent>
                    <w:p w:rsidR="00A10292" w:rsidRDefault="00A10292" w:rsidP="003A63FA">
                      <w:pPr>
                        <w:jc w:val="center"/>
                      </w:pPr>
                    </w:p>
                  </w:txbxContent>
                </v:textbox>
              </v:rect>
            </w:pict>
          </mc:Fallback>
        </mc:AlternateContent>
      </w:r>
      <w:r>
        <w:rPr>
          <w:noProof/>
          <w:lang w:eastAsia="en-GB"/>
        </w:rPr>
        <mc:AlternateContent>
          <mc:Choice Requires="wps">
            <w:drawing>
              <wp:anchor distT="0" distB="0" distL="114300" distR="114300" simplePos="0" relativeHeight="251660288" behindDoc="0" locked="0" layoutInCell="1" allowOverlap="1" wp14:anchorId="425C6C86" wp14:editId="6EBC2DD0">
                <wp:simplePos x="0" y="0"/>
                <wp:positionH relativeFrom="column">
                  <wp:posOffset>-533400</wp:posOffset>
                </wp:positionH>
                <wp:positionV relativeFrom="paragraph">
                  <wp:posOffset>345440</wp:posOffset>
                </wp:positionV>
                <wp:extent cx="6477000" cy="3286125"/>
                <wp:effectExtent l="0" t="0" r="0" b="0"/>
                <wp:wrapNone/>
                <wp:docPr id="4" name="Text Box 4"/>
                <wp:cNvGraphicFramePr/>
                <a:graphic xmlns:a="http://schemas.openxmlformats.org/drawingml/2006/main">
                  <a:graphicData uri="http://schemas.microsoft.com/office/word/2010/wordprocessingShape">
                    <wps:wsp>
                      <wps:cNvSpPr txBox="1"/>
                      <wps:spPr>
                        <a:xfrm>
                          <a:off x="0" y="0"/>
                          <a:ext cx="6477000" cy="3286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10292" w:rsidRPr="003A63FA" w:rsidRDefault="00A10292" w:rsidP="003A63FA">
                            <w:pPr>
                              <w:jc w:val="center"/>
                              <w:rPr>
                                <w:color w:val="FFFFFF" w:themeColor="background1"/>
                                <w:sz w:val="2"/>
                              </w:rPr>
                            </w:pPr>
                          </w:p>
                          <w:p w:rsidR="00A10292" w:rsidRDefault="00A10292" w:rsidP="003A63FA">
                            <w:pPr>
                              <w:jc w:val="center"/>
                              <w:rPr>
                                <w:color w:val="FFFFFF" w:themeColor="background1"/>
                              </w:rPr>
                            </w:pPr>
                            <w:r w:rsidRPr="003A63FA">
                              <w:rPr>
                                <w:color w:val="FFFFFF" w:themeColor="background1"/>
                              </w:rPr>
                              <w:t>We</w:t>
                            </w:r>
                          </w:p>
                          <w:p w:rsidR="00A10292" w:rsidRDefault="00A10292" w:rsidP="003A63FA">
                            <w:pPr>
                              <w:jc w:val="center"/>
                              <w:rPr>
                                <w:color w:val="FFFFFF" w:themeColor="background1"/>
                              </w:rPr>
                            </w:pPr>
                          </w:p>
                          <w:p w:rsidR="00A10292" w:rsidRDefault="00A10292" w:rsidP="003A63FA">
                            <w:pPr>
                              <w:jc w:val="center"/>
                              <w:rPr>
                                <w:color w:val="FFFFFF" w:themeColor="background1"/>
                              </w:rPr>
                            </w:pPr>
                            <w:r w:rsidRPr="003A63FA">
                              <w:rPr>
                                <w:color w:val="FFFFFF" w:themeColor="background1"/>
                              </w:rPr>
                              <w:t xml:space="preserve"> </w:t>
                            </w:r>
                          </w:p>
                          <w:p w:rsidR="00A10292" w:rsidRDefault="00A10292" w:rsidP="003A63FA">
                            <w:pPr>
                              <w:jc w:val="center"/>
                              <w:rPr>
                                <w:color w:val="FFFFFF" w:themeColor="background1"/>
                              </w:rPr>
                            </w:pPr>
                          </w:p>
                          <w:p w:rsidR="00A10292" w:rsidRPr="00C7297D" w:rsidRDefault="00A10292" w:rsidP="00C7297D">
                            <w:pPr>
                              <w:jc w:val="center"/>
                            </w:pPr>
                            <w:hyperlink r:id="rId41" w:history="1">
                              <w:r w:rsidRPr="00C7297D">
                                <w:rPr>
                                  <w:rStyle w:val="Hyperlink"/>
                                </w:rPr>
                                <w:t>TRFT Library &amp; Knowledge Service</w:t>
                              </w:r>
                            </w:hyperlink>
                            <w:r w:rsidRPr="00C7297D">
                              <w:t xml:space="preserve"> aim to bring together the latest guidelines, research and news on Covid-19</w:t>
                            </w:r>
                            <w:r>
                              <w:t xml:space="preserve"> through our </w:t>
                            </w:r>
                            <w:hyperlink r:id="rId42" w:history="1">
                              <w:r w:rsidRPr="00C7297D">
                                <w:rPr>
                                  <w:rStyle w:val="Hyperlink"/>
                                </w:rPr>
                                <w:t>Covid-19 portal</w:t>
                              </w:r>
                            </w:hyperlink>
                            <w:r w:rsidRPr="00C7297D">
                              <w:t>. For daily updates on Covid-19 visit our '</w:t>
                            </w:r>
                            <w:hyperlink r:id="rId43" w:tgtFrame="_blank" w:history="1">
                              <w:r w:rsidRPr="00C7297D">
                                <w:rPr>
                                  <w:rStyle w:val="Hyperlink"/>
                                </w:rPr>
                                <w:t>Latest Health</w:t>
                              </w:r>
                            </w:hyperlink>
                            <w:r w:rsidRPr="00C7297D">
                              <w:t xml:space="preserve">' newsfeed, or use the hashtag </w:t>
                            </w:r>
                            <w:hyperlink r:id="rId44" w:history="1">
                              <w:r w:rsidRPr="00C7297D">
                                <w:rPr>
                                  <w:rStyle w:val="Hyperlink"/>
                                </w:rPr>
                                <w:t>#covid19rftlks</w:t>
                              </w:r>
                            </w:hyperlink>
                            <w:r w:rsidRPr="00C7297D">
                              <w:rPr>
                                <w:u w:val="single"/>
                              </w:rPr>
                              <w:t xml:space="preserve"> </w:t>
                            </w:r>
                            <w:r w:rsidRPr="00C7297D">
                              <w:t>to see our latest tweets on Covid-19 research, guidelines and news.</w:t>
                            </w:r>
                          </w:p>
                          <w:p w:rsidR="00A10292" w:rsidRDefault="00A10292" w:rsidP="003A63FA">
                            <w:pPr>
                              <w:jc w:val="center"/>
                            </w:pPr>
                            <w:r>
                              <w:t>We also p</w:t>
                            </w:r>
                            <w:r w:rsidRPr="008A42F4">
                              <w:t xml:space="preserve">roduce a range of subject-specific news feeds to ensure our clinical and professional teams stay </w:t>
                            </w:r>
                            <w:r>
                              <w:t xml:space="preserve">up to date with </w:t>
                            </w:r>
                            <w:r w:rsidRPr="008A42F4">
                              <w:t xml:space="preserve">developments in their work areas. Please visit our </w:t>
                            </w:r>
                            <w:hyperlink r:id="rId45" w:history="1">
                              <w:r w:rsidRPr="008A42F4">
                                <w:rPr>
                                  <w:rStyle w:val="Hyperlink"/>
                                  <w:color w:val="339966"/>
                                </w:rPr>
                                <w:t>website</w:t>
                              </w:r>
                            </w:hyperlink>
                            <w:r>
                              <w:rPr>
                                <w:rStyle w:val="Hyperlink"/>
                                <w:color w:val="339966"/>
                              </w:rPr>
                              <w:t xml:space="preserve"> </w:t>
                            </w:r>
                            <w:r w:rsidRPr="008A42F4">
                              <w:t xml:space="preserve"> for more information </w:t>
                            </w:r>
                          </w:p>
                          <w:p w:rsidR="00A10292" w:rsidRDefault="00A10292" w:rsidP="003A63FA">
                            <w:pPr>
                              <w:jc w:val="center"/>
                              <w:rPr>
                                <w:color w:val="339966"/>
                              </w:rPr>
                            </w:pPr>
                            <w:hyperlink r:id="rId46" w:history="1">
                              <w:r w:rsidRPr="00D90851">
                                <w:rPr>
                                  <w:rStyle w:val="Hyperlink"/>
                                </w:rPr>
                                <w:t>https://www.trftlibraryknowledge.com/health-newsfeeds.html</w:t>
                              </w:r>
                            </w:hyperlink>
                          </w:p>
                          <w:p w:rsidR="00A10292" w:rsidRPr="008A42F4" w:rsidRDefault="00A10292"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C6C86" id="Text Box 4" o:spid="_x0000_s1029" type="#_x0000_t202" style="position:absolute;margin-left:-42pt;margin-top:27.2pt;width:510pt;height:25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" filled="f" stroked="f" strokeweight=".5pt">
                <v:textbox>
                  <w:txbxContent>
                    <w:p w:rsidR="00A10292" w:rsidRPr="003A63FA" w:rsidRDefault="00A10292" w:rsidP="003A63FA">
                      <w:pPr>
                        <w:jc w:val="center"/>
                        <w:rPr>
                          <w:color w:val="FFFFFF" w:themeColor="background1"/>
                          <w:sz w:val="2"/>
                        </w:rPr>
                      </w:pPr>
                    </w:p>
                    <w:p w:rsidR="00A10292" w:rsidRDefault="00A10292" w:rsidP="003A63FA">
                      <w:pPr>
                        <w:jc w:val="center"/>
                        <w:rPr>
                          <w:color w:val="FFFFFF" w:themeColor="background1"/>
                        </w:rPr>
                      </w:pPr>
                      <w:r w:rsidRPr="003A63FA">
                        <w:rPr>
                          <w:color w:val="FFFFFF" w:themeColor="background1"/>
                        </w:rPr>
                        <w:t>We</w:t>
                      </w:r>
                    </w:p>
                    <w:p w:rsidR="00A10292" w:rsidRDefault="00A10292" w:rsidP="003A63FA">
                      <w:pPr>
                        <w:jc w:val="center"/>
                        <w:rPr>
                          <w:color w:val="FFFFFF" w:themeColor="background1"/>
                        </w:rPr>
                      </w:pPr>
                    </w:p>
                    <w:p w:rsidR="00A10292" w:rsidRDefault="00A10292" w:rsidP="003A63FA">
                      <w:pPr>
                        <w:jc w:val="center"/>
                        <w:rPr>
                          <w:color w:val="FFFFFF" w:themeColor="background1"/>
                        </w:rPr>
                      </w:pPr>
                      <w:r w:rsidRPr="003A63FA">
                        <w:rPr>
                          <w:color w:val="FFFFFF" w:themeColor="background1"/>
                        </w:rPr>
                        <w:t xml:space="preserve"> </w:t>
                      </w:r>
                    </w:p>
                    <w:p w:rsidR="00A10292" w:rsidRDefault="00A10292" w:rsidP="003A63FA">
                      <w:pPr>
                        <w:jc w:val="center"/>
                        <w:rPr>
                          <w:color w:val="FFFFFF" w:themeColor="background1"/>
                        </w:rPr>
                      </w:pPr>
                    </w:p>
                    <w:p w:rsidR="00A10292" w:rsidRPr="00C7297D" w:rsidRDefault="00A10292" w:rsidP="00C7297D">
                      <w:pPr>
                        <w:jc w:val="center"/>
                      </w:pPr>
                      <w:hyperlink r:id="rId47" w:history="1">
                        <w:r w:rsidRPr="00C7297D">
                          <w:rPr>
                            <w:rStyle w:val="Hyperlink"/>
                          </w:rPr>
                          <w:t>TRFT Library &amp; Knowledge Service</w:t>
                        </w:r>
                      </w:hyperlink>
                      <w:r w:rsidRPr="00C7297D">
                        <w:t xml:space="preserve"> aim to bring together the latest guidelines, research and news on Covid-19</w:t>
                      </w:r>
                      <w:r>
                        <w:t xml:space="preserve"> through our </w:t>
                      </w:r>
                      <w:hyperlink r:id="rId48" w:history="1">
                        <w:r w:rsidRPr="00C7297D">
                          <w:rPr>
                            <w:rStyle w:val="Hyperlink"/>
                          </w:rPr>
                          <w:t>Covid-19 portal</w:t>
                        </w:r>
                      </w:hyperlink>
                      <w:r w:rsidRPr="00C7297D">
                        <w:t>. For daily updates on Covid-19 visit our '</w:t>
                      </w:r>
                      <w:hyperlink r:id="rId49" w:tgtFrame="_blank" w:history="1">
                        <w:r w:rsidRPr="00C7297D">
                          <w:rPr>
                            <w:rStyle w:val="Hyperlink"/>
                          </w:rPr>
                          <w:t>Latest Health</w:t>
                        </w:r>
                      </w:hyperlink>
                      <w:r w:rsidRPr="00C7297D">
                        <w:t xml:space="preserve">' newsfeed, or use the hashtag </w:t>
                      </w:r>
                      <w:hyperlink r:id="rId50" w:history="1">
                        <w:r w:rsidRPr="00C7297D">
                          <w:rPr>
                            <w:rStyle w:val="Hyperlink"/>
                          </w:rPr>
                          <w:t>#covid19rftlks</w:t>
                        </w:r>
                      </w:hyperlink>
                      <w:r w:rsidRPr="00C7297D">
                        <w:rPr>
                          <w:u w:val="single"/>
                        </w:rPr>
                        <w:t xml:space="preserve"> </w:t>
                      </w:r>
                      <w:r w:rsidRPr="00C7297D">
                        <w:t>to see our latest tweets on Covid-19 research, guidelines and news.</w:t>
                      </w:r>
                    </w:p>
                    <w:p w:rsidR="00A10292" w:rsidRDefault="00A10292" w:rsidP="003A63FA">
                      <w:pPr>
                        <w:jc w:val="center"/>
                      </w:pPr>
                      <w:r>
                        <w:t>We also p</w:t>
                      </w:r>
                      <w:r w:rsidRPr="008A42F4">
                        <w:t xml:space="preserve">roduce a range of subject-specific news feeds to ensure our clinical and professional teams stay </w:t>
                      </w:r>
                      <w:r>
                        <w:t xml:space="preserve">up to date with </w:t>
                      </w:r>
                      <w:r w:rsidRPr="008A42F4">
                        <w:t xml:space="preserve">developments in their work areas. Please visit our </w:t>
                      </w:r>
                      <w:hyperlink r:id="rId51" w:history="1">
                        <w:r w:rsidRPr="008A42F4">
                          <w:rPr>
                            <w:rStyle w:val="Hyperlink"/>
                            <w:color w:val="339966"/>
                          </w:rPr>
                          <w:t>website</w:t>
                        </w:r>
                      </w:hyperlink>
                      <w:r>
                        <w:rPr>
                          <w:rStyle w:val="Hyperlink"/>
                          <w:color w:val="339966"/>
                        </w:rPr>
                        <w:t xml:space="preserve"> </w:t>
                      </w:r>
                      <w:r w:rsidRPr="008A42F4">
                        <w:t xml:space="preserve"> for more information </w:t>
                      </w:r>
                    </w:p>
                    <w:p w:rsidR="00A10292" w:rsidRDefault="00A10292" w:rsidP="003A63FA">
                      <w:pPr>
                        <w:jc w:val="center"/>
                        <w:rPr>
                          <w:color w:val="339966"/>
                        </w:rPr>
                      </w:pPr>
                      <w:hyperlink r:id="rId52" w:history="1">
                        <w:r w:rsidRPr="00D90851">
                          <w:rPr>
                            <w:rStyle w:val="Hyperlink"/>
                          </w:rPr>
                          <w:t>https://www.trftlibraryknowledge.com/health-newsfeeds.html</w:t>
                        </w:r>
                      </w:hyperlink>
                    </w:p>
                    <w:p w:rsidR="00A10292" w:rsidRPr="008A42F4" w:rsidRDefault="00A10292" w:rsidP="003A63FA">
                      <w:pPr>
                        <w:jc w:val="center"/>
                        <w:rPr>
                          <w:color w:val="339966"/>
                        </w:rPr>
                      </w:pPr>
                    </w:p>
                  </w:txbxContent>
                </v:textbox>
              </v:shape>
            </w:pict>
          </mc:Fallback>
        </mc:AlternateContent>
      </w:r>
    </w:p>
    <w:sectPr w:rsidR="00F9499F" w:rsidSect="003A63FA">
      <w:headerReference w:type="default" r:id="rId53"/>
      <w:footerReference w:type="default" r:id="rId54"/>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292" w:rsidRDefault="00A10292" w:rsidP="00F06475">
      <w:pPr>
        <w:spacing w:after="0" w:line="240" w:lineRule="auto"/>
      </w:pPr>
      <w:r>
        <w:separator/>
      </w:r>
    </w:p>
  </w:endnote>
  <w:endnote w:type="continuationSeparator" w:id="0">
    <w:p w:rsidR="00A10292" w:rsidRDefault="00A10292"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otum">
    <w:altName w:val="Malgun Gothic Semilight"/>
    <w:panose1 w:val="020B0600000101010101"/>
    <w:charset w:val="81"/>
    <w:family w:val="swiss"/>
    <w:pitch w:val="variable"/>
    <w:sig w:usb0="00000000" w:usb1="69D77CFB" w:usb2="00000030" w:usb3="00000000" w:csb0="0008009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82628"/>
      <w:docPartObj>
        <w:docPartGallery w:val="Page Numbers (Bottom of Page)"/>
        <w:docPartUnique/>
      </w:docPartObj>
    </w:sdtPr>
    <w:sdtEndPr>
      <w:rPr>
        <w:noProof/>
      </w:rPr>
    </w:sdtEndPr>
    <w:sdtContent>
      <w:p w:rsidR="00A10292" w:rsidRDefault="00A10292">
        <w:pPr>
          <w:pStyle w:val="Footer"/>
          <w:jc w:val="right"/>
        </w:pPr>
        <w:r>
          <w:fldChar w:fldCharType="begin"/>
        </w:r>
        <w:r>
          <w:instrText xml:space="preserve"> PAGE   \* MERGEFORMAT </w:instrText>
        </w:r>
        <w:r>
          <w:fldChar w:fldCharType="separate"/>
        </w:r>
        <w:r w:rsidR="00764596">
          <w:rPr>
            <w:noProof/>
          </w:rPr>
          <w:t>11</w:t>
        </w:r>
        <w:r>
          <w:rPr>
            <w:noProof/>
          </w:rPr>
          <w:fldChar w:fldCharType="end"/>
        </w:r>
      </w:p>
    </w:sdtContent>
  </w:sdt>
  <w:p w:rsidR="00A10292" w:rsidRDefault="00A102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292" w:rsidRDefault="00A10292" w:rsidP="00F06475">
      <w:pPr>
        <w:spacing w:after="0" w:line="240" w:lineRule="auto"/>
      </w:pPr>
      <w:r>
        <w:separator/>
      </w:r>
    </w:p>
  </w:footnote>
  <w:footnote w:type="continuationSeparator" w:id="0">
    <w:p w:rsidR="00A10292" w:rsidRDefault="00A10292"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292" w:rsidRDefault="00A10292"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05C867D8" wp14:editId="74447825">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0292" w:rsidRPr="00244F90" w:rsidRDefault="00A10292"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D16E3"/>
    <w:multiLevelType w:val="hybridMultilevel"/>
    <w:tmpl w:val="6B24D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E02F12"/>
    <w:multiLevelType w:val="multilevel"/>
    <w:tmpl w:val="0FEAC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0A10DC"/>
    <w:multiLevelType w:val="multilevel"/>
    <w:tmpl w:val="1924E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B5770F4"/>
    <w:multiLevelType w:val="multilevel"/>
    <w:tmpl w:val="1FF68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D04669"/>
    <w:multiLevelType w:val="hybridMultilevel"/>
    <w:tmpl w:val="DAEE9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825C71"/>
    <w:multiLevelType w:val="multilevel"/>
    <w:tmpl w:val="3C1C6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2EB2CDE"/>
    <w:multiLevelType w:val="multilevel"/>
    <w:tmpl w:val="D7C66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07622A7"/>
    <w:multiLevelType w:val="hybridMultilevel"/>
    <w:tmpl w:val="3EC80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4A4087"/>
    <w:multiLevelType w:val="hybridMultilevel"/>
    <w:tmpl w:val="850EE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E70A68"/>
    <w:multiLevelType w:val="hybridMultilevel"/>
    <w:tmpl w:val="C5DC1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446BE8"/>
    <w:multiLevelType w:val="hybridMultilevel"/>
    <w:tmpl w:val="F1E2E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E070AB"/>
    <w:multiLevelType w:val="hybridMultilevel"/>
    <w:tmpl w:val="024C8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766BC8"/>
    <w:multiLevelType w:val="multilevel"/>
    <w:tmpl w:val="5E4AB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5"/>
  </w:num>
  <w:num w:numId="4">
    <w:abstractNumId w:val="11"/>
  </w:num>
  <w:num w:numId="5">
    <w:abstractNumId w:val="12"/>
  </w:num>
  <w:num w:numId="6">
    <w:abstractNumId w:val="9"/>
  </w:num>
  <w:num w:numId="7">
    <w:abstractNumId w:val="8"/>
  </w:num>
  <w:num w:numId="8">
    <w:abstractNumId w:val="10"/>
  </w:num>
  <w:num w:numId="9">
    <w:abstractNumId w:val="7"/>
  </w:num>
  <w:num w:numId="10">
    <w:abstractNumId w:val="4"/>
  </w:num>
  <w:num w:numId="11">
    <w:abstractNumId w:val="1"/>
  </w:num>
  <w:num w:numId="12">
    <w:abstractNumId w:val="2"/>
  </w:num>
  <w:num w:numId="13">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1F"/>
    <w:rsid w:val="00007442"/>
    <w:rsid w:val="000111FB"/>
    <w:rsid w:val="00016657"/>
    <w:rsid w:val="000304F0"/>
    <w:rsid w:val="00030E21"/>
    <w:rsid w:val="00034907"/>
    <w:rsid w:val="00037C00"/>
    <w:rsid w:val="00041E0B"/>
    <w:rsid w:val="00046298"/>
    <w:rsid w:val="000510BA"/>
    <w:rsid w:val="000517A9"/>
    <w:rsid w:val="00051BFC"/>
    <w:rsid w:val="00052367"/>
    <w:rsid w:val="00063E3D"/>
    <w:rsid w:val="00065A47"/>
    <w:rsid w:val="00070262"/>
    <w:rsid w:val="000749B7"/>
    <w:rsid w:val="00075E06"/>
    <w:rsid w:val="00077250"/>
    <w:rsid w:val="00081B0B"/>
    <w:rsid w:val="00085E68"/>
    <w:rsid w:val="000868BA"/>
    <w:rsid w:val="000A2968"/>
    <w:rsid w:val="000A5857"/>
    <w:rsid w:val="000B145B"/>
    <w:rsid w:val="000C0D16"/>
    <w:rsid w:val="000C3101"/>
    <w:rsid w:val="000D4062"/>
    <w:rsid w:val="000F6DFC"/>
    <w:rsid w:val="0010329F"/>
    <w:rsid w:val="00107149"/>
    <w:rsid w:val="001134DA"/>
    <w:rsid w:val="00116A60"/>
    <w:rsid w:val="00117430"/>
    <w:rsid w:val="00153F4C"/>
    <w:rsid w:val="00154AAD"/>
    <w:rsid w:val="001838F3"/>
    <w:rsid w:val="00191A5C"/>
    <w:rsid w:val="001A44E9"/>
    <w:rsid w:val="001A72B7"/>
    <w:rsid w:val="001C2EBC"/>
    <w:rsid w:val="001C5EDB"/>
    <w:rsid w:val="001D22B9"/>
    <w:rsid w:val="001D5EB9"/>
    <w:rsid w:val="001D7A12"/>
    <w:rsid w:val="001E1F53"/>
    <w:rsid w:val="001E7349"/>
    <w:rsid w:val="001F4948"/>
    <w:rsid w:val="001F7CEE"/>
    <w:rsid w:val="00217D3D"/>
    <w:rsid w:val="00244F90"/>
    <w:rsid w:val="00250BB8"/>
    <w:rsid w:val="0025346E"/>
    <w:rsid w:val="00265644"/>
    <w:rsid w:val="002765D2"/>
    <w:rsid w:val="002904BE"/>
    <w:rsid w:val="00295936"/>
    <w:rsid w:val="00296882"/>
    <w:rsid w:val="002A3430"/>
    <w:rsid w:val="002A4F0F"/>
    <w:rsid w:val="002B21DC"/>
    <w:rsid w:val="002B23D9"/>
    <w:rsid w:val="002B54E5"/>
    <w:rsid w:val="002C3154"/>
    <w:rsid w:val="002C4727"/>
    <w:rsid w:val="002E5198"/>
    <w:rsid w:val="002F29D4"/>
    <w:rsid w:val="002F5887"/>
    <w:rsid w:val="002F7CA7"/>
    <w:rsid w:val="003016A7"/>
    <w:rsid w:val="003121CE"/>
    <w:rsid w:val="003127D8"/>
    <w:rsid w:val="00312E5E"/>
    <w:rsid w:val="00320740"/>
    <w:rsid w:val="00322F38"/>
    <w:rsid w:val="003242BD"/>
    <w:rsid w:val="00346DA2"/>
    <w:rsid w:val="00360A45"/>
    <w:rsid w:val="00371AC6"/>
    <w:rsid w:val="0037350E"/>
    <w:rsid w:val="00373799"/>
    <w:rsid w:val="00374690"/>
    <w:rsid w:val="00384555"/>
    <w:rsid w:val="003902AC"/>
    <w:rsid w:val="00391554"/>
    <w:rsid w:val="00397E36"/>
    <w:rsid w:val="003A3F8E"/>
    <w:rsid w:val="003A63FA"/>
    <w:rsid w:val="003B07B1"/>
    <w:rsid w:val="003B2F6A"/>
    <w:rsid w:val="003B73DD"/>
    <w:rsid w:val="003C0108"/>
    <w:rsid w:val="003C431B"/>
    <w:rsid w:val="003C5A6D"/>
    <w:rsid w:val="003C77B8"/>
    <w:rsid w:val="003D17FA"/>
    <w:rsid w:val="003D3D76"/>
    <w:rsid w:val="003D66B3"/>
    <w:rsid w:val="003D7691"/>
    <w:rsid w:val="003E0BD2"/>
    <w:rsid w:val="003F4131"/>
    <w:rsid w:val="003F65F0"/>
    <w:rsid w:val="003F770E"/>
    <w:rsid w:val="0040264D"/>
    <w:rsid w:val="004040E0"/>
    <w:rsid w:val="00405F73"/>
    <w:rsid w:val="0041032D"/>
    <w:rsid w:val="00415544"/>
    <w:rsid w:val="004174D9"/>
    <w:rsid w:val="00420EC3"/>
    <w:rsid w:val="0042378D"/>
    <w:rsid w:val="0042582F"/>
    <w:rsid w:val="00435979"/>
    <w:rsid w:val="00441D07"/>
    <w:rsid w:val="00445BC5"/>
    <w:rsid w:val="00455ACC"/>
    <w:rsid w:val="00465205"/>
    <w:rsid w:val="00465751"/>
    <w:rsid w:val="00474016"/>
    <w:rsid w:val="00474E61"/>
    <w:rsid w:val="00477FA6"/>
    <w:rsid w:val="00490236"/>
    <w:rsid w:val="004913E3"/>
    <w:rsid w:val="00491EA6"/>
    <w:rsid w:val="00492E7A"/>
    <w:rsid w:val="00497B10"/>
    <w:rsid w:val="004A0D16"/>
    <w:rsid w:val="004B5354"/>
    <w:rsid w:val="004C0610"/>
    <w:rsid w:val="004F54C5"/>
    <w:rsid w:val="005048C8"/>
    <w:rsid w:val="005134CC"/>
    <w:rsid w:val="00514A07"/>
    <w:rsid w:val="005159E5"/>
    <w:rsid w:val="005211A0"/>
    <w:rsid w:val="00527C87"/>
    <w:rsid w:val="00532079"/>
    <w:rsid w:val="005423B7"/>
    <w:rsid w:val="005532A3"/>
    <w:rsid w:val="00563DCF"/>
    <w:rsid w:val="00565844"/>
    <w:rsid w:val="00566982"/>
    <w:rsid w:val="00567E1C"/>
    <w:rsid w:val="00567F03"/>
    <w:rsid w:val="00576758"/>
    <w:rsid w:val="00581729"/>
    <w:rsid w:val="00584843"/>
    <w:rsid w:val="00592C31"/>
    <w:rsid w:val="005A1100"/>
    <w:rsid w:val="005A4DB0"/>
    <w:rsid w:val="005A4E8F"/>
    <w:rsid w:val="005A6F07"/>
    <w:rsid w:val="005C56A0"/>
    <w:rsid w:val="005C59FD"/>
    <w:rsid w:val="005E077A"/>
    <w:rsid w:val="005F1664"/>
    <w:rsid w:val="005F65C7"/>
    <w:rsid w:val="00600B36"/>
    <w:rsid w:val="00606DC5"/>
    <w:rsid w:val="00611A1C"/>
    <w:rsid w:val="00627D72"/>
    <w:rsid w:val="00630A70"/>
    <w:rsid w:val="006857CB"/>
    <w:rsid w:val="006A0DAD"/>
    <w:rsid w:val="006B3290"/>
    <w:rsid w:val="006B7D0B"/>
    <w:rsid w:val="006E07E3"/>
    <w:rsid w:val="006F5EA0"/>
    <w:rsid w:val="006F7BC1"/>
    <w:rsid w:val="00700BA3"/>
    <w:rsid w:val="00701612"/>
    <w:rsid w:val="00716E14"/>
    <w:rsid w:val="00725E20"/>
    <w:rsid w:val="00731145"/>
    <w:rsid w:val="007336FB"/>
    <w:rsid w:val="0074245C"/>
    <w:rsid w:val="00742549"/>
    <w:rsid w:val="007564F4"/>
    <w:rsid w:val="00764596"/>
    <w:rsid w:val="007807CE"/>
    <w:rsid w:val="00781494"/>
    <w:rsid w:val="00781D6C"/>
    <w:rsid w:val="00785978"/>
    <w:rsid w:val="007868FE"/>
    <w:rsid w:val="007A0AFE"/>
    <w:rsid w:val="007A6D82"/>
    <w:rsid w:val="007B3AD6"/>
    <w:rsid w:val="007C5362"/>
    <w:rsid w:val="007E2026"/>
    <w:rsid w:val="007E4F47"/>
    <w:rsid w:val="007E736F"/>
    <w:rsid w:val="007E7D5F"/>
    <w:rsid w:val="007F1243"/>
    <w:rsid w:val="007F331F"/>
    <w:rsid w:val="007F70B9"/>
    <w:rsid w:val="0080755F"/>
    <w:rsid w:val="00811472"/>
    <w:rsid w:val="00824783"/>
    <w:rsid w:val="00824863"/>
    <w:rsid w:val="00827678"/>
    <w:rsid w:val="00836C56"/>
    <w:rsid w:val="008544CB"/>
    <w:rsid w:val="008546DC"/>
    <w:rsid w:val="008563A9"/>
    <w:rsid w:val="00860C58"/>
    <w:rsid w:val="00862782"/>
    <w:rsid w:val="00874AB8"/>
    <w:rsid w:val="00887B4B"/>
    <w:rsid w:val="008908D7"/>
    <w:rsid w:val="008914DD"/>
    <w:rsid w:val="008A42F4"/>
    <w:rsid w:val="008D3782"/>
    <w:rsid w:val="008E6F90"/>
    <w:rsid w:val="00903083"/>
    <w:rsid w:val="00906A6D"/>
    <w:rsid w:val="009248EA"/>
    <w:rsid w:val="00930E75"/>
    <w:rsid w:val="00934DEA"/>
    <w:rsid w:val="00934EA1"/>
    <w:rsid w:val="00935ECE"/>
    <w:rsid w:val="00940CBE"/>
    <w:rsid w:val="009515E0"/>
    <w:rsid w:val="00951A72"/>
    <w:rsid w:val="00954401"/>
    <w:rsid w:val="00956B26"/>
    <w:rsid w:val="00971256"/>
    <w:rsid w:val="00972672"/>
    <w:rsid w:val="00977BA7"/>
    <w:rsid w:val="00984FB8"/>
    <w:rsid w:val="009952AE"/>
    <w:rsid w:val="009A6BE9"/>
    <w:rsid w:val="009B4182"/>
    <w:rsid w:val="009B41E1"/>
    <w:rsid w:val="009B5573"/>
    <w:rsid w:val="009C3768"/>
    <w:rsid w:val="009D1D3B"/>
    <w:rsid w:val="009E5482"/>
    <w:rsid w:val="009F0172"/>
    <w:rsid w:val="00A07EAF"/>
    <w:rsid w:val="00A10292"/>
    <w:rsid w:val="00A22EE5"/>
    <w:rsid w:val="00A30349"/>
    <w:rsid w:val="00A35850"/>
    <w:rsid w:val="00A5031D"/>
    <w:rsid w:val="00A51153"/>
    <w:rsid w:val="00A53412"/>
    <w:rsid w:val="00A573B7"/>
    <w:rsid w:val="00A707F9"/>
    <w:rsid w:val="00A7321B"/>
    <w:rsid w:val="00A75176"/>
    <w:rsid w:val="00A82F7D"/>
    <w:rsid w:val="00A865C3"/>
    <w:rsid w:val="00A930E2"/>
    <w:rsid w:val="00A964DA"/>
    <w:rsid w:val="00A96532"/>
    <w:rsid w:val="00A96B6D"/>
    <w:rsid w:val="00A97480"/>
    <w:rsid w:val="00A97CB4"/>
    <w:rsid w:val="00AA589F"/>
    <w:rsid w:val="00AA7FC3"/>
    <w:rsid w:val="00AB3D3D"/>
    <w:rsid w:val="00AB4399"/>
    <w:rsid w:val="00AB58AD"/>
    <w:rsid w:val="00AB7C70"/>
    <w:rsid w:val="00AC7818"/>
    <w:rsid w:val="00AC79C9"/>
    <w:rsid w:val="00AF6897"/>
    <w:rsid w:val="00B001A0"/>
    <w:rsid w:val="00B001C3"/>
    <w:rsid w:val="00B0096D"/>
    <w:rsid w:val="00B034A0"/>
    <w:rsid w:val="00B04748"/>
    <w:rsid w:val="00B137CF"/>
    <w:rsid w:val="00B1542C"/>
    <w:rsid w:val="00B2773A"/>
    <w:rsid w:val="00B36AFD"/>
    <w:rsid w:val="00B5385F"/>
    <w:rsid w:val="00B547CD"/>
    <w:rsid w:val="00B73C50"/>
    <w:rsid w:val="00B74226"/>
    <w:rsid w:val="00B7513F"/>
    <w:rsid w:val="00B86F1B"/>
    <w:rsid w:val="00B90455"/>
    <w:rsid w:val="00B9520E"/>
    <w:rsid w:val="00BA1AA0"/>
    <w:rsid w:val="00BA5067"/>
    <w:rsid w:val="00BA5CC4"/>
    <w:rsid w:val="00BB0496"/>
    <w:rsid w:val="00BB62CC"/>
    <w:rsid w:val="00BB72F2"/>
    <w:rsid w:val="00BE7BE3"/>
    <w:rsid w:val="00BF2AD4"/>
    <w:rsid w:val="00BF30BE"/>
    <w:rsid w:val="00BF4C0E"/>
    <w:rsid w:val="00C250C0"/>
    <w:rsid w:val="00C2529B"/>
    <w:rsid w:val="00C338F2"/>
    <w:rsid w:val="00C33971"/>
    <w:rsid w:val="00C3787B"/>
    <w:rsid w:val="00C4515A"/>
    <w:rsid w:val="00C470CD"/>
    <w:rsid w:val="00C570C4"/>
    <w:rsid w:val="00C7297D"/>
    <w:rsid w:val="00C739C0"/>
    <w:rsid w:val="00C73D78"/>
    <w:rsid w:val="00C8078C"/>
    <w:rsid w:val="00C86CF9"/>
    <w:rsid w:val="00C87C28"/>
    <w:rsid w:val="00C91654"/>
    <w:rsid w:val="00C96982"/>
    <w:rsid w:val="00CA2E8A"/>
    <w:rsid w:val="00CC08BD"/>
    <w:rsid w:val="00CC3BBA"/>
    <w:rsid w:val="00CD3471"/>
    <w:rsid w:val="00CE02E0"/>
    <w:rsid w:val="00CE08CF"/>
    <w:rsid w:val="00CE1D0C"/>
    <w:rsid w:val="00CE68A5"/>
    <w:rsid w:val="00CF7992"/>
    <w:rsid w:val="00D03514"/>
    <w:rsid w:val="00D151A7"/>
    <w:rsid w:val="00D52256"/>
    <w:rsid w:val="00D638FB"/>
    <w:rsid w:val="00D6477B"/>
    <w:rsid w:val="00D65F29"/>
    <w:rsid w:val="00D70CA7"/>
    <w:rsid w:val="00D822ED"/>
    <w:rsid w:val="00D838D4"/>
    <w:rsid w:val="00D84FD6"/>
    <w:rsid w:val="00D86E0D"/>
    <w:rsid w:val="00D966A2"/>
    <w:rsid w:val="00DA27A3"/>
    <w:rsid w:val="00DA2A77"/>
    <w:rsid w:val="00DA3607"/>
    <w:rsid w:val="00DA6BCE"/>
    <w:rsid w:val="00DB6FA0"/>
    <w:rsid w:val="00DC1AC6"/>
    <w:rsid w:val="00DE33B3"/>
    <w:rsid w:val="00DE4846"/>
    <w:rsid w:val="00DE7158"/>
    <w:rsid w:val="00DF38F1"/>
    <w:rsid w:val="00E0576B"/>
    <w:rsid w:val="00E12F39"/>
    <w:rsid w:val="00E13113"/>
    <w:rsid w:val="00E259E1"/>
    <w:rsid w:val="00E3524C"/>
    <w:rsid w:val="00E53AFD"/>
    <w:rsid w:val="00E5674F"/>
    <w:rsid w:val="00E62C16"/>
    <w:rsid w:val="00E7250F"/>
    <w:rsid w:val="00E7640D"/>
    <w:rsid w:val="00E84B8A"/>
    <w:rsid w:val="00E85AFD"/>
    <w:rsid w:val="00E90E32"/>
    <w:rsid w:val="00E9159A"/>
    <w:rsid w:val="00E92995"/>
    <w:rsid w:val="00E938C5"/>
    <w:rsid w:val="00ED09B2"/>
    <w:rsid w:val="00ED4843"/>
    <w:rsid w:val="00EE4ED1"/>
    <w:rsid w:val="00F06475"/>
    <w:rsid w:val="00F121EA"/>
    <w:rsid w:val="00F17BF4"/>
    <w:rsid w:val="00F26A88"/>
    <w:rsid w:val="00F363D3"/>
    <w:rsid w:val="00F40EF6"/>
    <w:rsid w:val="00F42F59"/>
    <w:rsid w:val="00F534B4"/>
    <w:rsid w:val="00F61231"/>
    <w:rsid w:val="00F66829"/>
    <w:rsid w:val="00F74E67"/>
    <w:rsid w:val="00F75D44"/>
    <w:rsid w:val="00F775BF"/>
    <w:rsid w:val="00F81CC1"/>
    <w:rsid w:val="00F923D4"/>
    <w:rsid w:val="00F9499F"/>
    <w:rsid w:val="00F97E75"/>
    <w:rsid w:val="00FA11EB"/>
    <w:rsid w:val="00FA1357"/>
    <w:rsid w:val="00FA2BE8"/>
    <w:rsid w:val="00FA7EC6"/>
    <w:rsid w:val="00FB76E0"/>
    <w:rsid w:val="00FC1E79"/>
    <w:rsid w:val="00FC2554"/>
    <w:rsid w:val="00FF011E"/>
    <w:rsid w:val="00FF5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5C4EE883"/>
  <w15:docId w15:val="{350B385F-E03C-4231-8DCD-9FD5FE6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430"/>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semiHidden/>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53238111">
      <w:bodyDiv w:val="1"/>
      <w:marLeft w:val="0"/>
      <w:marRight w:val="0"/>
      <w:marTop w:val="0"/>
      <w:marBottom w:val="0"/>
      <w:divBdr>
        <w:top w:val="none" w:sz="0" w:space="0" w:color="auto"/>
        <w:left w:val="none" w:sz="0" w:space="0" w:color="auto"/>
        <w:bottom w:val="none" w:sz="0" w:space="0" w:color="auto"/>
        <w:right w:val="none" w:sz="0" w:space="0" w:color="auto"/>
      </w:divBdr>
      <w:divsChild>
        <w:div w:id="2130732868">
          <w:marLeft w:val="0"/>
          <w:marRight w:val="0"/>
          <w:marTop w:val="0"/>
          <w:marBottom w:val="0"/>
          <w:divBdr>
            <w:top w:val="none" w:sz="0" w:space="0" w:color="auto"/>
            <w:left w:val="none" w:sz="0" w:space="0" w:color="auto"/>
            <w:bottom w:val="none" w:sz="0" w:space="0" w:color="auto"/>
            <w:right w:val="none" w:sz="0" w:space="0" w:color="auto"/>
          </w:divBdr>
        </w:div>
        <w:div w:id="1250194650">
          <w:marLeft w:val="0"/>
          <w:marRight w:val="0"/>
          <w:marTop w:val="0"/>
          <w:marBottom w:val="0"/>
          <w:divBdr>
            <w:top w:val="none" w:sz="0" w:space="0" w:color="auto"/>
            <w:left w:val="none" w:sz="0" w:space="0" w:color="auto"/>
            <w:bottom w:val="none" w:sz="0" w:space="0" w:color="auto"/>
            <w:right w:val="none" w:sz="0" w:space="0" w:color="auto"/>
          </w:divBdr>
        </w:div>
      </w:divsChild>
    </w:div>
    <w:div w:id="66729953">
      <w:bodyDiv w:val="1"/>
      <w:marLeft w:val="0"/>
      <w:marRight w:val="0"/>
      <w:marTop w:val="0"/>
      <w:marBottom w:val="0"/>
      <w:divBdr>
        <w:top w:val="none" w:sz="0" w:space="0" w:color="auto"/>
        <w:left w:val="none" w:sz="0" w:space="0" w:color="auto"/>
        <w:bottom w:val="none" w:sz="0" w:space="0" w:color="auto"/>
        <w:right w:val="none" w:sz="0" w:space="0" w:color="auto"/>
      </w:divBdr>
      <w:divsChild>
        <w:div w:id="434399042">
          <w:marLeft w:val="0"/>
          <w:marRight w:val="0"/>
          <w:marTop w:val="0"/>
          <w:marBottom w:val="0"/>
          <w:divBdr>
            <w:top w:val="none" w:sz="0" w:space="0" w:color="auto"/>
            <w:left w:val="none" w:sz="0" w:space="0" w:color="auto"/>
            <w:bottom w:val="none" w:sz="0" w:space="0" w:color="auto"/>
            <w:right w:val="none" w:sz="0" w:space="0" w:color="auto"/>
          </w:divBdr>
        </w:div>
      </w:divsChild>
    </w:div>
    <w:div w:id="67046698">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4789464">
      <w:bodyDiv w:val="1"/>
      <w:marLeft w:val="0"/>
      <w:marRight w:val="0"/>
      <w:marTop w:val="0"/>
      <w:marBottom w:val="0"/>
      <w:divBdr>
        <w:top w:val="none" w:sz="0" w:space="0" w:color="auto"/>
        <w:left w:val="none" w:sz="0" w:space="0" w:color="auto"/>
        <w:bottom w:val="none" w:sz="0" w:space="0" w:color="auto"/>
        <w:right w:val="none" w:sz="0" w:space="0" w:color="auto"/>
      </w:divBdr>
      <w:divsChild>
        <w:div w:id="811752678">
          <w:marLeft w:val="0"/>
          <w:marRight w:val="0"/>
          <w:marTop w:val="0"/>
          <w:marBottom w:val="0"/>
          <w:divBdr>
            <w:top w:val="none" w:sz="0" w:space="0" w:color="auto"/>
            <w:left w:val="none" w:sz="0" w:space="0" w:color="auto"/>
            <w:bottom w:val="none" w:sz="0" w:space="0" w:color="auto"/>
            <w:right w:val="none" w:sz="0" w:space="0" w:color="auto"/>
          </w:divBdr>
        </w:div>
      </w:divsChild>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98988175">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08401038">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17916023">
      <w:bodyDiv w:val="1"/>
      <w:marLeft w:val="0"/>
      <w:marRight w:val="0"/>
      <w:marTop w:val="0"/>
      <w:marBottom w:val="0"/>
      <w:divBdr>
        <w:top w:val="none" w:sz="0" w:space="0" w:color="auto"/>
        <w:left w:val="none" w:sz="0" w:space="0" w:color="auto"/>
        <w:bottom w:val="none" w:sz="0" w:space="0" w:color="auto"/>
        <w:right w:val="none" w:sz="0" w:space="0" w:color="auto"/>
      </w:divBdr>
    </w:div>
    <w:div w:id="125780541">
      <w:bodyDiv w:val="1"/>
      <w:marLeft w:val="0"/>
      <w:marRight w:val="0"/>
      <w:marTop w:val="0"/>
      <w:marBottom w:val="0"/>
      <w:divBdr>
        <w:top w:val="none" w:sz="0" w:space="0" w:color="auto"/>
        <w:left w:val="none" w:sz="0" w:space="0" w:color="auto"/>
        <w:bottom w:val="none" w:sz="0" w:space="0" w:color="auto"/>
        <w:right w:val="none" w:sz="0" w:space="0" w:color="auto"/>
      </w:divBdr>
      <w:divsChild>
        <w:div w:id="892160849">
          <w:marLeft w:val="0"/>
          <w:marRight w:val="0"/>
          <w:marTop w:val="0"/>
          <w:marBottom w:val="0"/>
          <w:divBdr>
            <w:top w:val="none" w:sz="0" w:space="0" w:color="auto"/>
            <w:left w:val="none" w:sz="0" w:space="0" w:color="auto"/>
            <w:bottom w:val="none" w:sz="0" w:space="0" w:color="auto"/>
            <w:right w:val="none" w:sz="0" w:space="0" w:color="auto"/>
          </w:divBdr>
        </w:div>
      </w:divsChild>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162047">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73809245">
      <w:bodyDiv w:val="1"/>
      <w:marLeft w:val="0"/>
      <w:marRight w:val="0"/>
      <w:marTop w:val="0"/>
      <w:marBottom w:val="0"/>
      <w:divBdr>
        <w:top w:val="none" w:sz="0" w:space="0" w:color="auto"/>
        <w:left w:val="none" w:sz="0" w:space="0" w:color="auto"/>
        <w:bottom w:val="none" w:sz="0" w:space="0" w:color="auto"/>
        <w:right w:val="none" w:sz="0" w:space="0" w:color="auto"/>
      </w:divBdr>
      <w:divsChild>
        <w:div w:id="1530489727">
          <w:marLeft w:val="0"/>
          <w:marRight w:val="0"/>
          <w:marTop w:val="150"/>
          <w:marBottom w:val="270"/>
          <w:divBdr>
            <w:top w:val="none" w:sz="0" w:space="0" w:color="auto"/>
            <w:left w:val="none" w:sz="0" w:space="0" w:color="auto"/>
            <w:bottom w:val="none" w:sz="0" w:space="0" w:color="auto"/>
            <w:right w:val="none" w:sz="0" w:space="0" w:color="auto"/>
          </w:divBdr>
        </w:div>
      </w:divsChild>
    </w:div>
    <w:div w:id="174806314">
      <w:bodyDiv w:val="1"/>
      <w:marLeft w:val="0"/>
      <w:marRight w:val="0"/>
      <w:marTop w:val="0"/>
      <w:marBottom w:val="0"/>
      <w:divBdr>
        <w:top w:val="none" w:sz="0" w:space="0" w:color="auto"/>
        <w:left w:val="none" w:sz="0" w:space="0" w:color="auto"/>
        <w:bottom w:val="none" w:sz="0" w:space="0" w:color="auto"/>
        <w:right w:val="none" w:sz="0" w:space="0" w:color="auto"/>
      </w:divBdr>
    </w:div>
    <w:div w:id="178475498">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195432324">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08228798">
      <w:bodyDiv w:val="1"/>
      <w:marLeft w:val="0"/>
      <w:marRight w:val="0"/>
      <w:marTop w:val="0"/>
      <w:marBottom w:val="0"/>
      <w:divBdr>
        <w:top w:val="none" w:sz="0" w:space="0" w:color="auto"/>
        <w:left w:val="none" w:sz="0" w:space="0" w:color="auto"/>
        <w:bottom w:val="none" w:sz="0" w:space="0" w:color="auto"/>
        <w:right w:val="none" w:sz="0" w:space="0" w:color="auto"/>
      </w:divBdr>
    </w:div>
    <w:div w:id="217521496">
      <w:bodyDiv w:val="1"/>
      <w:marLeft w:val="0"/>
      <w:marRight w:val="0"/>
      <w:marTop w:val="0"/>
      <w:marBottom w:val="0"/>
      <w:divBdr>
        <w:top w:val="none" w:sz="0" w:space="0" w:color="auto"/>
        <w:left w:val="none" w:sz="0" w:space="0" w:color="auto"/>
        <w:bottom w:val="none" w:sz="0" w:space="0" w:color="auto"/>
        <w:right w:val="none" w:sz="0" w:space="0" w:color="auto"/>
      </w:divBdr>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28811744">
      <w:bodyDiv w:val="1"/>
      <w:marLeft w:val="0"/>
      <w:marRight w:val="0"/>
      <w:marTop w:val="0"/>
      <w:marBottom w:val="0"/>
      <w:divBdr>
        <w:top w:val="none" w:sz="0" w:space="0" w:color="auto"/>
        <w:left w:val="none" w:sz="0" w:space="0" w:color="auto"/>
        <w:bottom w:val="none" w:sz="0" w:space="0" w:color="auto"/>
        <w:right w:val="none" w:sz="0" w:space="0" w:color="auto"/>
      </w:divBdr>
      <w:divsChild>
        <w:div w:id="762799398">
          <w:marLeft w:val="0"/>
          <w:marRight w:val="0"/>
          <w:marTop w:val="0"/>
          <w:marBottom w:val="0"/>
          <w:divBdr>
            <w:top w:val="none" w:sz="0" w:space="0" w:color="auto"/>
            <w:left w:val="none" w:sz="0" w:space="0" w:color="auto"/>
            <w:bottom w:val="none" w:sz="0" w:space="0" w:color="auto"/>
            <w:right w:val="none" w:sz="0" w:space="0" w:color="auto"/>
          </w:divBdr>
        </w:div>
      </w:divsChild>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56644584">
      <w:bodyDiv w:val="1"/>
      <w:marLeft w:val="0"/>
      <w:marRight w:val="0"/>
      <w:marTop w:val="0"/>
      <w:marBottom w:val="0"/>
      <w:divBdr>
        <w:top w:val="none" w:sz="0" w:space="0" w:color="auto"/>
        <w:left w:val="none" w:sz="0" w:space="0" w:color="auto"/>
        <w:bottom w:val="none" w:sz="0" w:space="0" w:color="auto"/>
        <w:right w:val="none" w:sz="0" w:space="0" w:color="auto"/>
      </w:divBdr>
      <w:divsChild>
        <w:div w:id="295769115">
          <w:marLeft w:val="0"/>
          <w:marRight w:val="0"/>
          <w:marTop w:val="720"/>
          <w:marBottom w:val="0"/>
          <w:divBdr>
            <w:top w:val="none" w:sz="0" w:space="0" w:color="auto"/>
            <w:left w:val="none" w:sz="0" w:space="0" w:color="auto"/>
            <w:bottom w:val="none" w:sz="0" w:space="0" w:color="auto"/>
            <w:right w:val="none" w:sz="0" w:space="0" w:color="auto"/>
          </w:divBdr>
        </w:div>
      </w:divsChild>
    </w:div>
    <w:div w:id="262807998">
      <w:bodyDiv w:val="1"/>
      <w:marLeft w:val="0"/>
      <w:marRight w:val="0"/>
      <w:marTop w:val="0"/>
      <w:marBottom w:val="0"/>
      <w:divBdr>
        <w:top w:val="none" w:sz="0" w:space="0" w:color="auto"/>
        <w:left w:val="none" w:sz="0" w:space="0" w:color="auto"/>
        <w:bottom w:val="none" w:sz="0" w:space="0" w:color="auto"/>
        <w:right w:val="none" w:sz="0" w:space="0" w:color="auto"/>
      </w:divBdr>
      <w:divsChild>
        <w:div w:id="657349689">
          <w:marLeft w:val="0"/>
          <w:marRight w:val="0"/>
          <w:marTop w:val="360"/>
          <w:marBottom w:val="0"/>
          <w:divBdr>
            <w:top w:val="none" w:sz="0" w:space="0" w:color="auto"/>
            <w:left w:val="none" w:sz="0" w:space="0" w:color="auto"/>
            <w:bottom w:val="none" w:sz="0" w:space="0" w:color="auto"/>
            <w:right w:val="none" w:sz="0" w:space="0" w:color="auto"/>
          </w:divBdr>
        </w:div>
      </w:divsChild>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4944615">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7787517">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305818785">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31227813">
      <w:bodyDiv w:val="1"/>
      <w:marLeft w:val="0"/>
      <w:marRight w:val="0"/>
      <w:marTop w:val="0"/>
      <w:marBottom w:val="0"/>
      <w:divBdr>
        <w:top w:val="none" w:sz="0" w:space="0" w:color="auto"/>
        <w:left w:val="none" w:sz="0" w:space="0" w:color="auto"/>
        <w:bottom w:val="none" w:sz="0" w:space="0" w:color="auto"/>
        <w:right w:val="none" w:sz="0" w:space="0" w:color="auto"/>
      </w:divBdr>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6179852">
      <w:bodyDiv w:val="1"/>
      <w:marLeft w:val="0"/>
      <w:marRight w:val="0"/>
      <w:marTop w:val="0"/>
      <w:marBottom w:val="0"/>
      <w:divBdr>
        <w:top w:val="none" w:sz="0" w:space="0" w:color="auto"/>
        <w:left w:val="none" w:sz="0" w:space="0" w:color="auto"/>
        <w:bottom w:val="none" w:sz="0" w:space="0" w:color="auto"/>
        <w:right w:val="none" w:sz="0" w:space="0" w:color="auto"/>
      </w:divBdr>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003868">
      <w:bodyDiv w:val="1"/>
      <w:marLeft w:val="0"/>
      <w:marRight w:val="0"/>
      <w:marTop w:val="0"/>
      <w:marBottom w:val="0"/>
      <w:divBdr>
        <w:top w:val="none" w:sz="0" w:space="0" w:color="auto"/>
        <w:left w:val="none" w:sz="0" w:space="0" w:color="auto"/>
        <w:bottom w:val="none" w:sz="0" w:space="0" w:color="auto"/>
        <w:right w:val="none" w:sz="0" w:space="0" w:color="auto"/>
      </w:divBdr>
      <w:divsChild>
        <w:div w:id="937834020">
          <w:marLeft w:val="0"/>
          <w:marRight w:val="0"/>
          <w:marTop w:val="150"/>
          <w:marBottom w:val="270"/>
          <w:divBdr>
            <w:top w:val="none" w:sz="0" w:space="0" w:color="auto"/>
            <w:left w:val="none" w:sz="0" w:space="0" w:color="auto"/>
            <w:bottom w:val="none" w:sz="0" w:space="0" w:color="auto"/>
            <w:right w:val="none" w:sz="0" w:space="0" w:color="auto"/>
          </w:divBdr>
        </w:div>
      </w:divsChild>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88383860">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26581909">
      <w:bodyDiv w:val="1"/>
      <w:marLeft w:val="0"/>
      <w:marRight w:val="0"/>
      <w:marTop w:val="0"/>
      <w:marBottom w:val="0"/>
      <w:divBdr>
        <w:top w:val="none" w:sz="0" w:space="0" w:color="auto"/>
        <w:left w:val="none" w:sz="0" w:space="0" w:color="auto"/>
        <w:bottom w:val="none" w:sz="0" w:space="0" w:color="auto"/>
        <w:right w:val="none" w:sz="0" w:space="0" w:color="auto"/>
      </w:divBdr>
    </w:div>
    <w:div w:id="428434577">
      <w:bodyDiv w:val="1"/>
      <w:marLeft w:val="0"/>
      <w:marRight w:val="0"/>
      <w:marTop w:val="0"/>
      <w:marBottom w:val="0"/>
      <w:divBdr>
        <w:top w:val="none" w:sz="0" w:space="0" w:color="auto"/>
        <w:left w:val="none" w:sz="0" w:space="0" w:color="auto"/>
        <w:bottom w:val="none" w:sz="0" w:space="0" w:color="auto"/>
        <w:right w:val="none" w:sz="0" w:space="0" w:color="auto"/>
      </w:divBdr>
      <w:divsChild>
        <w:div w:id="1206597980">
          <w:marLeft w:val="0"/>
          <w:marRight w:val="0"/>
          <w:marTop w:val="150"/>
          <w:marBottom w:val="270"/>
          <w:divBdr>
            <w:top w:val="none" w:sz="0" w:space="0" w:color="auto"/>
            <w:left w:val="none" w:sz="0" w:space="0" w:color="auto"/>
            <w:bottom w:val="none" w:sz="0" w:space="0" w:color="auto"/>
            <w:right w:val="none" w:sz="0" w:space="0" w:color="auto"/>
          </w:divBdr>
        </w:div>
      </w:divsChild>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37718866">
      <w:bodyDiv w:val="1"/>
      <w:marLeft w:val="0"/>
      <w:marRight w:val="0"/>
      <w:marTop w:val="0"/>
      <w:marBottom w:val="0"/>
      <w:divBdr>
        <w:top w:val="none" w:sz="0" w:space="0" w:color="auto"/>
        <w:left w:val="none" w:sz="0" w:space="0" w:color="auto"/>
        <w:bottom w:val="none" w:sz="0" w:space="0" w:color="auto"/>
        <w:right w:val="none" w:sz="0" w:space="0" w:color="auto"/>
      </w:divBdr>
      <w:divsChild>
        <w:div w:id="1665353076">
          <w:marLeft w:val="0"/>
          <w:marRight w:val="0"/>
          <w:marTop w:val="150"/>
          <w:marBottom w:val="270"/>
          <w:divBdr>
            <w:top w:val="none" w:sz="0" w:space="0" w:color="auto"/>
            <w:left w:val="none" w:sz="0" w:space="0" w:color="auto"/>
            <w:bottom w:val="none" w:sz="0" w:space="0" w:color="auto"/>
            <w:right w:val="none" w:sz="0" w:space="0" w:color="auto"/>
          </w:divBdr>
        </w:div>
      </w:divsChild>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47835155">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83957453">
      <w:bodyDiv w:val="1"/>
      <w:marLeft w:val="0"/>
      <w:marRight w:val="0"/>
      <w:marTop w:val="0"/>
      <w:marBottom w:val="0"/>
      <w:divBdr>
        <w:top w:val="none" w:sz="0" w:space="0" w:color="auto"/>
        <w:left w:val="none" w:sz="0" w:space="0" w:color="auto"/>
        <w:bottom w:val="none" w:sz="0" w:space="0" w:color="auto"/>
        <w:right w:val="none" w:sz="0" w:space="0" w:color="auto"/>
      </w:divBdr>
      <w:divsChild>
        <w:div w:id="1180777457">
          <w:marLeft w:val="0"/>
          <w:marRight w:val="0"/>
          <w:marTop w:val="150"/>
          <w:marBottom w:val="270"/>
          <w:divBdr>
            <w:top w:val="none" w:sz="0" w:space="0" w:color="auto"/>
            <w:left w:val="none" w:sz="0" w:space="0" w:color="auto"/>
            <w:bottom w:val="none" w:sz="0" w:space="0" w:color="auto"/>
            <w:right w:val="none" w:sz="0" w:space="0" w:color="auto"/>
          </w:divBdr>
        </w:div>
      </w:divsChild>
    </w:div>
    <w:div w:id="586811550">
      <w:bodyDiv w:val="1"/>
      <w:marLeft w:val="0"/>
      <w:marRight w:val="0"/>
      <w:marTop w:val="0"/>
      <w:marBottom w:val="0"/>
      <w:divBdr>
        <w:top w:val="none" w:sz="0" w:space="0" w:color="auto"/>
        <w:left w:val="none" w:sz="0" w:space="0" w:color="auto"/>
        <w:bottom w:val="none" w:sz="0" w:space="0" w:color="auto"/>
        <w:right w:val="none" w:sz="0" w:space="0" w:color="auto"/>
      </w:divBdr>
      <w:divsChild>
        <w:div w:id="743794623">
          <w:marLeft w:val="0"/>
          <w:marRight w:val="417"/>
          <w:marTop w:val="0"/>
          <w:marBottom w:val="0"/>
          <w:divBdr>
            <w:top w:val="none" w:sz="0" w:space="0" w:color="auto"/>
            <w:left w:val="none" w:sz="0" w:space="0" w:color="auto"/>
            <w:bottom w:val="none" w:sz="0" w:space="0" w:color="auto"/>
            <w:right w:val="none" w:sz="0" w:space="0" w:color="auto"/>
          </w:divBdr>
        </w:div>
      </w:divsChild>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697315538">
      <w:bodyDiv w:val="1"/>
      <w:marLeft w:val="0"/>
      <w:marRight w:val="0"/>
      <w:marTop w:val="0"/>
      <w:marBottom w:val="0"/>
      <w:divBdr>
        <w:top w:val="none" w:sz="0" w:space="0" w:color="auto"/>
        <w:left w:val="none" w:sz="0" w:space="0" w:color="auto"/>
        <w:bottom w:val="none" w:sz="0" w:space="0" w:color="auto"/>
        <w:right w:val="none" w:sz="0" w:space="0" w:color="auto"/>
      </w:divBdr>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24378524">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50470918">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72554332">
      <w:bodyDiv w:val="1"/>
      <w:marLeft w:val="0"/>
      <w:marRight w:val="0"/>
      <w:marTop w:val="0"/>
      <w:marBottom w:val="0"/>
      <w:divBdr>
        <w:top w:val="none" w:sz="0" w:space="0" w:color="auto"/>
        <w:left w:val="none" w:sz="0" w:space="0" w:color="auto"/>
        <w:bottom w:val="none" w:sz="0" w:space="0" w:color="auto"/>
        <w:right w:val="none" w:sz="0" w:space="0" w:color="auto"/>
      </w:divBdr>
      <w:divsChild>
        <w:div w:id="1365405251">
          <w:marLeft w:val="0"/>
          <w:marRight w:val="0"/>
          <w:marTop w:val="150"/>
          <w:marBottom w:val="270"/>
          <w:divBdr>
            <w:top w:val="none" w:sz="0" w:space="0" w:color="auto"/>
            <w:left w:val="none" w:sz="0" w:space="0" w:color="auto"/>
            <w:bottom w:val="none" w:sz="0" w:space="0" w:color="auto"/>
            <w:right w:val="none" w:sz="0" w:space="0" w:color="auto"/>
          </w:divBdr>
        </w:div>
      </w:divsChild>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8544964">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34960025">
      <w:bodyDiv w:val="1"/>
      <w:marLeft w:val="0"/>
      <w:marRight w:val="0"/>
      <w:marTop w:val="0"/>
      <w:marBottom w:val="0"/>
      <w:divBdr>
        <w:top w:val="none" w:sz="0" w:space="0" w:color="auto"/>
        <w:left w:val="none" w:sz="0" w:space="0" w:color="auto"/>
        <w:bottom w:val="none" w:sz="0" w:space="0" w:color="auto"/>
        <w:right w:val="none" w:sz="0" w:space="0" w:color="auto"/>
      </w:divBdr>
    </w:div>
    <w:div w:id="848832220">
      <w:bodyDiv w:val="1"/>
      <w:marLeft w:val="0"/>
      <w:marRight w:val="0"/>
      <w:marTop w:val="0"/>
      <w:marBottom w:val="0"/>
      <w:divBdr>
        <w:top w:val="none" w:sz="0" w:space="0" w:color="auto"/>
        <w:left w:val="none" w:sz="0" w:space="0" w:color="auto"/>
        <w:bottom w:val="none" w:sz="0" w:space="0" w:color="auto"/>
        <w:right w:val="none" w:sz="0" w:space="0" w:color="auto"/>
      </w:divBdr>
      <w:divsChild>
        <w:div w:id="1034581368">
          <w:marLeft w:val="0"/>
          <w:marRight w:val="0"/>
          <w:marTop w:val="150"/>
          <w:marBottom w:val="270"/>
          <w:divBdr>
            <w:top w:val="none" w:sz="0" w:space="0" w:color="auto"/>
            <w:left w:val="none" w:sz="0" w:space="0" w:color="auto"/>
            <w:bottom w:val="none" w:sz="0" w:space="0" w:color="auto"/>
            <w:right w:val="none" w:sz="0" w:space="0" w:color="auto"/>
          </w:divBdr>
        </w:div>
      </w:divsChild>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91506468">
      <w:bodyDiv w:val="1"/>
      <w:marLeft w:val="0"/>
      <w:marRight w:val="0"/>
      <w:marTop w:val="0"/>
      <w:marBottom w:val="0"/>
      <w:divBdr>
        <w:top w:val="none" w:sz="0" w:space="0" w:color="auto"/>
        <w:left w:val="none" w:sz="0" w:space="0" w:color="auto"/>
        <w:bottom w:val="none" w:sz="0" w:space="0" w:color="auto"/>
        <w:right w:val="none" w:sz="0" w:space="0" w:color="auto"/>
      </w:divBdr>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4100804">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22488871">
      <w:bodyDiv w:val="1"/>
      <w:marLeft w:val="0"/>
      <w:marRight w:val="0"/>
      <w:marTop w:val="0"/>
      <w:marBottom w:val="0"/>
      <w:divBdr>
        <w:top w:val="none" w:sz="0" w:space="0" w:color="auto"/>
        <w:left w:val="none" w:sz="0" w:space="0" w:color="auto"/>
        <w:bottom w:val="none" w:sz="0" w:space="0" w:color="auto"/>
        <w:right w:val="none" w:sz="0" w:space="0" w:color="auto"/>
      </w:divBdr>
      <w:divsChild>
        <w:div w:id="1121605806">
          <w:marLeft w:val="0"/>
          <w:marRight w:val="0"/>
          <w:marTop w:val="150"/>
          <w:marBottom w:val="270"/>
          <w:divBdr>
            <w:top w:val="none" w:sz="0" w:space="0" w:color="auto"/>
            <w:left w:val="none" w:sz="0" w:space="0" w:color="auto"/>
            <w:bottom w:val="none" w:sz="0" w:space="0" w:color="auto"/>
            <w:right w:val="none" w:sz="0" w:space="0" w:color="auto"/>
          </w:divBdr>
        </w:div>
      </w:divsChild>
    </w:div>
    <w:div w:id="933906136">
      <w:bodyDiv w:val="1"/>
      <w:marLeft w:val="0"/>
      <w:marRight w:val="0"/>
      <w:marTop w:val="0"/>
      <w:marBottom w:val="0"/>
      <w:divBdr>
        <w:top w:val="none" w:sz="0" w:space="0" w:color="auto"/>
        <w:left w:val="none" w:sz="0" w:space="0" w:color="auto"/>
        <w:bottom w:val="none" w:sz="0" w:space="0" w:color="auto"/>
        <w:right w:val="none" w:sz="0" w:space="0" w:color="auto"/>
      </w:divBdr>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7875275">
      <w:bodyDiv w:val="1"/>
      <w:marLeft w:val="0"/>
      <w:marRight w:val="0"/>
      <w:marTop w:val="0"/>
      <w:marBottom w:val="0"/>
      <w:divBdr>
        <w:top w:val="none" w:sz="0" w:space="0" w:color="auto"/>
        <w:left w:val="none" w:sz="0" w:space="0" w:color="auto"/>
        <w:bottom w:val="none" w:sz="0" w:space="0" w:color="auto"/>
        <w:right w:val="none" w:sz="0" w:space="0" w:color="auto"/>
      </w:divBdr>
      <w:divsChild>
        <w:div w:id="672682158">
          <w:marLeft w:val="0"/>
          <w:marRight w:val="0"/>
          <w:marTop w:val="0"/>
          <w:marBottom w:val="0"/>
          <w:divBdr>
            <w:top w:val="none" w:sz="0" w:space="0" w:color="auto"/>
            <w:left w:val="none" w:sz="0" w:space="0" w:color="auto"/>
            <w:bottom w:val="none" w:sz="0" w:space="0" w:color="auto"/>
            <w:right w:val="none" w:sz="0" w:space="0" w:color="auto"/>
          </w:divBdr>
          <w:divsChild>
            <w:div w:id="211558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3602694">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24863507">
      <w:bodyDiv w:val="1"/>
      <w:marLeft w:val="0"/>
      <w:marRight w:val="0"/>
      <w:marTop w:val="0"/>
      <w:marBottom w:val="0"/>
      <w:divBdr>
        <w:top w:val="none" w:sz="0" w:space="0" w:color="auto"/>
        <w:left w:val="none" w:sz="0" w:space="0" w:color="auto"/>
        <w:bottom w:val="none" w:sz="0" w:space="0" w:color="auto"/>
        <w:right w:val="none" w:sz="0" w:space="0" w:color="auto"/>
      </w:divBdr>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6176444">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9569255">
      <w:bodyDiv w:val="1"/>
      <w:marLeft w:val="0"/>
      <w:marRight w:val="0"/>
      <w:marTop w:val="0"/>
      <w:marBottom w:val="0"/>
      <w:divBdr>
        <w:top w:val="none" w:sz="0" w:space="0" w:color="auto"/>
        <w:left w:val="none" w:sz="0" w:space="0" w:color="auto"/>
        <w:bottom w:val="none" w:sz="0" w:space="0" w:color="auto"/>
        <w:right w:val="none" w:sz="0" w:space="0" w:color="auto"/>
      </w:divBdr>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4959381">
      <w:bodyDiv w:val="1"/>
      <w:marLeft w:val="0"/>
      <w:marRight w:val="0"/>
      <w:marTop w:val="0"/>
      <w:marBottom w:val="0"/>
      <w:divBdr>
        <w:top w:val="none" w:sz="0" w:space="0" w:color="auto"/>
        <w:left w:val="none" w:sz="0" w:space="0" w:color="auto"/>
        <w:bottom w:val="none" w:sz="0" w:space="0" w:color="auto"/>
        <w:right w:val="none" w:sz="0" w:space="0" w:color="auto"/>
      </w:divBdr>
      <w:divsChild>
        <w:div w:id="924538798">
          <w:marLeft w:val="0"/>
          <w:marRight w:val="0"/>
          <w:marTop w:val="0"/>
          <w:marBottom w:val="0"/>
          <w:divBdr>
            <w:top w:val="none" w:sz="0" w:space="0" w:color="auto"/>
            <w:left w:val="none" w:sz="0" w:space="0" w:color="auto"/>
            <w:bottom w:val="none" w:sz="0" w:space="0" w:color="auto"/>
            <w:right w:val="none" w:sz="0" w:space="0" w:color="auto"/>
          </w:divBdr>
          <w:divsChild>
            <w:div w:id="41413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7216090">
      <w:bodyDiv w:val="1"/>
      <w:marLeft w:val="0"/>
      <w:marRight w:val="0"/>
      <w:marTop w:val="0"/>
      <w:marBottom w:val="0"/>
      <w:divBdr>
        <w:top w:val="none" w:sz="0" w:space="0" w:color="auto"/>
        <w:left w:val="none" w:sz="0" w:space="0" w:color="auto"/>
        <w:bottom w:val="none" w:sz="0" w:space="0" w:color="auto"/>
        <w:right w:val="none" w:sz="0" w:space="0" w:color="auto"/>
      </w:divBdr>
      <w:divsChild>
        <w:div w:id="1848400912">
          <w:marLeft w:val="0"/>
          <w:marRight w:val="0"/>
          <w:marTop w:val="0"/>
          <w:marBottom w:val="0"/>
          <w:divBdr>
            <w:top w:val="single" w:sz="6" w:space="0" w:color="005434"/>
            <w:left w:val="none" w:sz="0" w:space="0" w:color="auto"/>
            <w:bottom w:val="none" w:sz="0" w:space="0" w:color="auto"/>
            <w:right w:val="none" w:sz="0" w:space="0" w:color="auto"/>
          </w:divBdr>
          <w:divsChild>
            <w:div w:id="213464834">
              <w:marLeft w:val="0"/>
              <w:marRight w:val="0"/>
              <w:marTop w:val="0"/>
              <w:marBottom w:val="0"/>
              <w:divBdr>
                <w:top w:val="none" w:sz="0" w:space="0" w:color="auto"/>
                <w:left w:val="none" w:sz="0" w:space="0" w:color="auto"/>
                <w:bottom w:val="none" w:sz="0" w:space="0" w:color="auto"/>
                <w:right w:val="none" w:sz="0" w:space="0" w:color="auto"/>
              </w:divBdr>
              <w:divsChild>
                <w:div w:id="82963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33906506">
      <w:bodyDiv w:val="1"/>
      <w:marLeft w:val="0"/>
      <w:marRight w:val="0"/>
      <w:marTop w:val="0"/>
      <w:marBottom w:val="0"/>
      <w:divBdr>
        <w:top w:val="none" w:sz="0" w:space="0" w:color="auto"/>
        <w:left w:val="none" w:sz="0" w:space="0" w:color="auto"/>
        <w:bottom w:val="none" w:sz="0" w:space="0" w:color="auto"/>
        <w:right w:val="none" w:sz="0" w:space="0" w:color="auto"/>
      </w:divBdr>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3881882">
      <w:bodyDiv w:val="1"/>
      <w:marLeft w:val="0"/>
      <w:marRight w:val="0"/>
      <w:marTop w:val="0"/>
      <w:marBottom w:val="0"/>
      <w:divBdr>
        <w:top w:val="none" w:sz="0" w:space="0" w:color="auto"/>
        <w:left w:val="none" w:sz="0" w:space="0" w:color="auto"/>
        <w:bottom w:val="none" w:sz="0" w:space="0" w:color="auto"/>
        <w:right w:val="none" w:sz="0" w:space="0" w:color="auto"/>
      </w:divBdr>
      <w:divsChild>
        <w:div w:id="1301308365">
          <w:marLeft w:val="0"/>
          <w:marRight w:val="0"/>
          <w:marTop w:val="150"/>
          <w:marBottom w:val="270"/>
          <w:divBdr>
            <w:top w:val="none" w:sz="0" w:space="0" w:color="auto"/>
            <w:left w:val="none" w:sz="0" w:space="0" w:color="auto"/>
            <w:bottom w:val="none" w:sz="0" w:space="0" w:color="auto"/>
            <w:right w:val="none" w:sz="0" w:space="0" w:color="auto"/>
          </w:divBdr>
        </w:div>
      </w:divsChild>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15235652">
      <w:bodyDiv w:val="1"/>
      <w:marLeft w:val="0"/>
      <w:marRight w:val="0"/>
      <w:marTop w:val="0"/>
      <w:marBottom w:val="0"/>
      <w:divBdr>
        <w:top w:val="none" w:sz="0" w:space="0" w:color="auto"/>
        <w:left w:val="none" w:sz="0" w:space="0" w:color="auto"/>
        <w:bottom w:val="none" w:sz="0" w:space="0" w:color="auto"/>
        <w:right w:val="none" w:sz="0" w:space="0" w:color="auto"/>
      </w:divBdr>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36090465">
      <w:bodyDiv w:val="1"/>
      <w:marLeft w:val="0"/>
      <w:marRight w:val="0"/>
      <w:marTop w:val="0"/>
      <w:marBottom w:val="0"/>
      <w:divBdr>
        <w:top w:val="none" w:sz="0" w:space="0" w:color="auto"/>
        <w:left w:val="none" w:sz="0" w:space="0" w:color="auto"/>
        <w:bottom w:val="none" w:sz="0" w:space="0" w:color="auto"/>
        <w:right w:val="none" w:sz="0" w:space="0" w:color="auto"/>
      </w:divBdr>
    </w:div>
    <w:div w:id="1239250658">
      <w:bodyDiv w:val="1"/>
      <w:marLeft w:val="0"/>
      <w:marRight w:val="0"/>
      <w:marTop w:val="0"/>
      <w:marBottom w:val="0"/>
      <w:divBdr>
        <w:top w:val="none" w:sz="0" w:space="0" w:color="auto"/>
        <w:left w:val="none" w:sz="0" w:space="0" w:color="auto"/>
        <w:bottom w:val="none" w:sz="0" w:space="0" w:color="auto"/>
        <w:right w:val="none" w:sz="0" w:space="0" w:color="auto"/>
      </w:divBdr>
      <w:divsChild>
        <w:div w:id="703402326">
          <w:marLeft w:val="0"/>
          <w:marRight w:val="0"/>
          <w:marTop w:val="0"/>
          <w:marBottom w:val="0"/>
          <w:divBdr>
            <w:top w:val="none" w:sz="0" w:space="0" w:color="auto"/>
            <w:left w:val="none" w:sz="0" w:space="0" w:color="auto"/>
            <w:bottom w:val="none" w:sz="0" w:space="0" w:color="auto"/>
            <w:right w:val="none" w:sz="0" w:space="0" w:color="auto"/>
          </w:divBdr>
          <w:divsChild>
            <w:div w:id="647705828">
              <w:marLeft w:val="0"/>
              <w:marRight w:val="0"/>
              <w:marTop w:val="300"/>
              <w:marBottom w:val="0"/>
              <w:divBdr>
                <w:top w:val="none" w:sz="0" w:space="0" w:color="auto"/>
                <w:left w:val="none" w:sz="0" w:space="0" w:color="auto"/>
                <w:bottom w:val="none" w:sz="0" w:space="0" w:color="auto"/>
                <w:right w:val="none" w:sz="0" w:space="0" w:color="auto"/>
              </w:divBdr>
              <w:divsChild>
                <w:div w:id="767778920">
                  <w:marLeft w:val="0"/>
                  <w:marRight w:val="0"/>
                  <w:marTop w:val="0"/>
                  <w:marBottom w:val="0"/>
                  <w:divBdr>
                    <w:top w:val="none" w:sz="0" w:space="0" w:color="auto"/>
                    <w:left w:val="none" w:sz="0" w:space="0" w:color="auto"/>
                    <w:bottom w:val="none" w:sz="0" w:space="0" w:color="auto"/>
                    <w:right w:val="none" w:sz="0" w:space="0" w:color="auto"/>
                  </w:divBdr>
                  <w:divsChild>
                    <w:div w:id="162924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69313042">
      <w:bodyDiv w:val="1"/>
      <w:marLeft w:val="0"/>
      <w:marRight w:val="0"/>
      <w:marTop w:val="0"/>
      <w:marBottom w:val="0"/>
      <w:divBdr>
        <w:top w:val="none" w:sz="0" w:space="0" w:color="auto"/>
        <w:left w:val="none" w:sz="0" w:space="0" w:color="auto"/>
        <w:bottom w:val="none" w:sz="0" w:space="0" w:color="auto"/>
        <w:right w:val="none" w:sz="0" w:space="0" w:color="auto"/>
      </w:divBdr>
      <w:divsChild>
        <w:div w:id="497501461">
          <w:marLeft w:val="0"/>
          <w:marRight w:val="0"/>
          <w:marTop w:val="150"/>
          <w:marBottom w:val="270"/>
          <w:divBdr>
            <w:top w:val="none" w:sz="0" w:space="0" w:color="auto"/>
            <w:left w:val="none" w:sz="0" w:space="0" w:color="auto"/>
            <w:bottom w:val="none" w:sz="0" w:space="0" w:color="auto"/>
            <w:right w:val="none" w:sz="0" w:space="0" w:color="auto"/>
          </w:divBdr>
        </w:div>
      </w:divsChild>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09629787">
      <w:bodyDiv w:val="1"/>
      <w:marLeft w:val="0"/>
      <w:marRight w:val="0"/>
      <w:marTop w:val="0"/>
      <w:marBottom w:val="0"/>
      <w:divBdr>
        <w:top w:val="none" w:sz="0" w:space="0" w:color="auto"/>
        <w:left w:val="none" w:sz="0" w:space="0" w:color="auto"/>
        <w:bottom w:val="none" w:sz="0" w:space="0" w:color="auto"/>
        <w:right w:val="none" w:sz="0" w:space="0" w:color="auto"/>
      </w:divBdr>
      <w:divsChild>
        <w:div w:id="76563336">
          <w:marLeft w:val="-225"/>
          <w:marRight w:val="-225"/>
          <w:marTop w:val="0"/>
          <w:marBottom w:val="0"/>
          <w:divBdr>
            <w:top w:val="none" w:sz="0" w:space="0" w:color="auto"/>
            <w:left w:val="none" w:sz="0" w:space="0" w:color="auto"/>
            <w:bottom w:val="none" w:sz="0" w:space="0" w:color="auto"/>
            <w:right w:val="none" w:sz="0" w:space="0" w:color="auto"/>
          </w:divBdr>
          <w:divsChild>
            <w:div w:id="5389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29598719">
      <w:bodyDiv w:val="1"/>
      <w:marLeft w:val="0"/>
      <w:marRight w:val="0"/>
      <w:marTop w:val="0"/>
      <w:marBottom w:val="0"/>
      <w:divBdr>
        <w:top w:val="none" w:sz="0" w:space="0" w:color="auto"/>
        <w:left w:val="none" w:sz="0" w:space="0" w:color="auto"/>
        <w:bottom w:val="none" w:sz="0" w:space="0" w:color="auto"/>
        <w:right w:val="none" w:sz="0" w:space="0" w:color="auto"/>
      </w:divBdr>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139472">
      <w:bodyDiv w:val="1"/>
      <w:marLeft w:val="0"/>
      <w:marRight w:val="0"/>
      <w:marTop w:val="0"/>
      <w:marBottom w:val="0"/>
      <w:divBdr>
        <w:top w:val="none" w:sz="0" w:space="0" w:color="auto"/>
        <w:left w:val="none" w:sz="0" w:space="0" w:color="auto"/>
        <w:bottom w:val="none" w:sz="0" w:space="0" w:color="auto"/>
        <w:right w:val="none" w:sz="0" w:space="0" w:color="auto"/>
      </w:divBdr>
      <w:divsChild>
        <w:div w:id="1969966818">
          <w:marLeft w:val="0"/>
          <w:marRight w:val="0"/>
          <w:marTop w:val="150"/>
          <w:marBottom w:val="270"/>
          <w:divBdr>
            <w:top w:val="none" w:sz="0" w:space="0" w:color="auto"/>
            <w:left w:val="none" w:sz="0" w:space="0" w:color="auto"/>
            <w:bottom w:val="none" w:sz="0" w:space="0" w:color="auto"/>
            <w:right w:val="none" w:sz="0" w:space="0" w:color="auto"/>
          </w:divBdr>
        </w:div>
      </w:divsChild>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36345962">
      <w:bodyDiv w:val="1"/>
      <w:marLeft w:val="0"/>
      <w:marRight w:val="0"/>
      <w:marTop w:val="0"/>
      <w:marBottom w:val="0"/>
      <w:divBdr>
        <w:top w:val="none" w:sz="0" w:space="0" w:color="auto"/>
        <w:left w:val="none" w:sz="0" w:space="0" w:color="auto"/>
        <w:bottom w:val="none" w:sz="0" w:space="0" w:color="auto"/>
        <w:right w:val="none" w:sz="0" w:space="0" w:color="auto"/>
      </w:divBdr>
      <w:divsChild>
        <w:div w:id="1556164650">
          <w:marLeft w:val="0"/>
          <w:marRight w:val="0"/>
          <w:marTop w:val="0"/>
          <w:marBottom w:val="0"/>
          <w:divBdr>
            <w:top w:val="none" w:sz="0" w:space="0" w:color="auto"/>
            <w:left w:val="none" w:sz="0" w:space="0" w:color="auto"/>
            <w:bottom w:val="none" w:sz="0" w:space="0" w:color="auto"/>
            <w:right w:val="none" w:sz="0" w:space="0" w:color="auto"/>
          </w:divBdr>
          <w:divsChild>
            <w:div w:id="7374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328469">
      <w:bodyDiv w:val="1"/>
      <w:marLeft w:val="0"/>
      <w:marRight w:val="0"/>
      <w:marTop w:val="0"/>
      <w:marBottom w:val="0"/>
      <w:divBdr>
        <w:top w:val="none" w:sz="0" w:space="0" w:color="auto"/>
        <w:left w:val="none" w:sz="0" w:space="0" w:color="auto"/>
        <w:bottom w:val="none" w:sz="0" w:space="0" w:color="auto"/>
        <w:right w:val="none" w:sz="0" w:space="0" w:color="auto"/>
      </w:divBdr>
      <w:divsChild>
        <w:div w:id="770512183">
          <w:marLeft w:val="0"/>
          <w:marRight w:val="0"/>
          <w:marTop w:val="0"/>
          <w:marBottom w:val="0"/>
          <w:divBdr>
            <w:top w:val="none" w:sz="0" w:space="0" w:color="auto"/>
            <w:left w:val="none" w:sz="0" w:space="0" w:color="auto"/>
            <w:bottom w:val="none" w:sz="0" w:space="0" w:color="auto"/>
            <w:right w:val="none" w:sz="0" w:space="0" w:color="auto"/>
          </w:divBdr>
        </w:div>
        <w:div w:id="1642344610">
          <w:marLeft w:val="0"/>
          <w:marRight w:val="0"/>
          <w:marTop w:val="0"/>
          <w:marBottom w:val="0"/>
          <w:divBdr>
            <w:top w:val="none" w:sz="0" w:space="0" w:color="auto"/>
            <w:left w:val="none" w:sz="0" w:space="0" w:color="auto"/>
            <w:bottom w:val="none" w:sz="0" w:space="0" w:color="auto"/>
            <w:right w:val="none" w:sz="0" w:space="0" w:color="auto"/>
          </w:divBdr>
        </w:div>
      </w:divsChild>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401364169">
      <w:bodyDiv w:val="1"/>
      <w:marLeft w:val="0"/>
      <w:marRight w:val="0"/>
      <w:marTop w:val="0"/>
      <w:marBottom w:val="0"/>
      <w:divBdr>
        <w:top w:val="none" w:sz="0" w:space="0" w:color="auto"/>
        <w:left w:val="none" w:sz="0" w:space="0" w:color="auto"/>
        <w:bottom w:val="none" w:sz="0" w:space="0" w:color="auto"/>
        <w:right w:val="none" w:sz="0" w:space="0" w:color="auto"/>
      </w:divBdr>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6652622">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09178598">
      <w:bodyDiv w:val="1"/>
      <w:marLeft w:val="0"/>
      <w:marRight w:val="0"/>
      <w:marTop w:val="0"/>
      <w:marBottom w:val="0"/>
      <w:divBdr>
        <w:top w:val="none" w:sz="0" w:space="0" w:color="auto"/>
        <w:left w:val="none" w:sz="0" w:space="0" w:color="auto"/>
        <w:bottom w:val="none" w:sz="0" w:space="0" w:color="auto"/>
        <w:right w:val="none" w:sz="0" w:space="0" w:color="auto"/>
      </w:divBdr>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603763083">
      <w:bodyDiv w:val="1"/>
      <w:marLeft w:val="0"/>
      <w:marRight w:val="0"/>
      <w:marTop w:val="0"/>
      <w:marBottom w:val="0"/>
      <w:divBdr>
        <w:top w:val="none" w:sz="0" w:space="0" w:color="auto"/>
        <w:left w:val="none" w:sz="0" w:space="0" w:color="auto"/>
        <w:bottom w:val="none" w:sz="0" w:space="0" w:color="auto"/>
        <w:right w:val="none" w:sz="0" w:space="0" w:color="auto"/>
      </w:divBdr>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6331156">
      <w:bodyDiv w:val="1"/>
      <w:marLeft w:val="0"/>
      <w:marRight w:val="0"/>
      <w:marTop w:val="0"/>
      <w:marBottom w:val="0"/>
      <w:divBdr>
        <w:top w:val="none" w:sz="0" w:space="0" w:color="auto"/>
        <w:left w:val="none" w:sz="0" w:space="0" w:color="auto"/>
        <w:bottom w:val="none" w:sz="0" w:space="0" w:color="auto"/>
        <w:right w:val="none" w:sz="0" w:space="0" w:color="auto"/>
      </w:divBdr>
    </w:div>
    <w:div w:id="1636833362">
      <w:bodyDiv w:val="1"/>
      <w:marLeft w:val="0"/>
      <w:marRight w:val="0"/>
      <w:marTop w:val="0"/>
      <w:marBottom w:val="0"/>
      <w:divBdr>
        <w:top w:val="none" w:sz="0" w:space="0" w:color="auto"/>
        <w:left w:val="none" w:sz="0" w:space="0" w:color="auto"/>
        <w:bottom w:val="none" w:sz="0" w:space="0" w:color="auto"/>
        <w:right w:val="none" w:sz="0" w:space="0" w:color="auto"/>
      </w:divBdr>
      <w:divsChild>
        <w:div w:id="993996435">
          <w:marLeft w:val="0"/>
          <w:marRight w:val="0"/>
          <w:marTop w:val="48"/>
          <w:marBottom w:val="120"/>
          <w:divBdr>
            <w:top w:val="none" w:sz="0" w:space="0" w:color="auto"/>
            <w:left w:val="none" w:sz="0" w:space="0" w:color="auto"/>
            <w:bottom w:val="none" w:sz="0" w:space="0" w:color="auto"/>
            <w:right w:val="none" w:sz="0" w:space="0" w:color="auto"/>
          </w:divBdr>
          <w:divsChild>
            <w:div w:id="10080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52177593">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66010645">
      <w:bodyDiv w:val="1"/>
      <w:marLeft w:val="0"/>
      <w:marRight w:val="0"/>
      <w:marTop w:val="0"/>
      <w:marBottom w:val="0"/>
      <w:divBdr>
        <w:top w:val="none" w:sz="0" w:space="0" w:color="auto"/>
        <w:left w:val="none" w:sz="0" w:space="0" w:color="auto"/>
        <w:bottom w:val="none" w:sz="0" w:space="0" w:color="auto"/>
        <w:right w:val="none" w:sz="0" w:space="0" w:color="auto"/>
      </w:divBdr>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38238726">
      <w:bodyDiv w:val="1"/>
      <w:marLeft w:val="0"/>
      <w:marRight w:val="0"/>
      <w:marTop w:val="0"/>
      <w:marBottom w:val="0"/>
      <w:divBdr>
        <w:top w:val="none" w:sz="0" w:space="0" w:color="auto"/>
        <w:left w:val="none" w:sz="0" w:space="0" w:color="auto"/>
        <w:bottom w:val="none" w:sz="0" w:space="0" w:color="auto"/>
        <w:right w:val="none" w:sz="0" w:space="0" w:color="auto"/>
      </w:divBdr>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86390863">
      <w:bodyDiv w:val="1"/>
      <w:marLeft w:val="0"/>
      <w:marRight w:val="0"/>
      <w:marTop w:val="0"/>
      <w:marBottom w:val="0"/>
      <w:divBdr>
        <w:top w:val="none" w:sz="0" w:space="0" w:color="auto"/>
        <w:left w:val="none" w:sz="0" w:space="0" w:color="auto"/>
        <w:bottom w:val="none" w:sz="0" w:space="0" w:color="auto"/>
        <w:right w:val="none" w:sz="0" w:space="0" w:color="auto"/>
      </w:divBdr>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793666827">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0321439">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68828428">
      <w:bodyDiv w:val="1"/>
      <w:marLeft w:val="0"/>
      <w:marRight w:val="0"/>
      <w:marTop w:val="0"/>
      <w:marBottom w:val="0"/>
      <w:divBdr>
        <w:top w:val="none" w:sz="0" w:space="0" w:color="auto"/>
        <w:left w:val="none" w:sz="0" w:space="0" w:color="auto"/>
        <w:bottom w:val="none" w:sz="0" w:space="0" w:color="auto"/>
        <w:right w:val="none" w:sz="0" w:space="0" w:color="auto"/>
      </w:divBdr>
    </w:div>
    <w:div w:id="1870102258">
      <w:bodyDiv w:val="1"/>
      <w:marLeft w:val="0"/>
      <w:marRight w:val="0"/>
      <w:marTop w:val="0"/>
      <w:marBottom w:val="0"/>
      <w:divBdr>
        <w:top w:val="none" w:sz="0" w:space="0" w:color="auto"/>
        <w:left w:val="none" w:sz="0" w:space="0" w:color="auto"/>
        <w:bottom w:val="none" w:sz="0" w:space="0" w:color="auto"/>
        <w:right w:val="none" w:sz="0" w:space="0" w:color="auto"/>
      </w:divBdr>
      <w:divsChild>
        <w:div w:id="426272239">
          <w:marLeft w:val="0"/>
          <w:marRight w:val="0"/>
          <w:marTop w:val="720"/>
          <w:marBottom w:val="0"/>
          <w:divBdr>
            <w:top w:val="none" w:sz="0" w:space="0" w:color="auto"/>
            <w:left w:val="none" w:sz="0" w:space="0" w:color="auto"/>
            <w:bottom w:val="none" w:sz="0" w:space="0" w:color="auto"/>
            <w:right w:val="none" w:sz="0" w:space="0" w:color="auto"/>
          </w:divBdr>
        </w:div>
      </w:divsChild>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41404503">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69579942">
      <w:bodyDiv w:val="1"/>
      <w:marLeft w:val="0"/>
      <w:marRight w:val="0"/>
      <w:marTop w:val="0"/>
      <w:marBottom w:val="0"/>
      <w:divBdr>
        <w:top w:val="none" w:sz="0" w:space="0" w:color="auto"/>
        <w:left w:val="none" w:sz="0" w:space="0" w:color="auto"/>
        <w:bottom w:val="none" w:sz="0" w:space="0" w:color="auto"/>
        <w:right w:val="none" w:sz="0" w:space="0" w:color="auto"/>
      </w:divBdr>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17463070">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58435260">
      <w:bodyDiv w:val="1"/>
      <w:marLeft w:val="0"/>
      <w:marRight w:val="0"/>
      <w:marTop w:val="0"/>
      <w:marBottom w:val="0"/>
      <w:divBdr>
        <w:top w:val="none" w:sz="0" w:space="0" w:color="auto"/>
        <w:left w:val="none" w:sz="0" w:space="0" w:color="auto"/>
        <w:bottom w:val="none" w:sz="0" w:space="0" w:color="auto"/>
        <w:right w:val="none" w:sz="0" w:space="0" w:color="auto"/>
      </w:divBdr>
    </w:div>
    <w:div w:id="2062438609">
      <w:bodyDiv w:val="1"/>
      <w:marLeft w:val="0"/>
      <w:marRight w:val="0"/>
      <w:marTop w:val="0"/>
      <w:marBottom w:val="0"/>
      <w:divBdr>
        <w:top w:val="none" w:sz="0" w:space="0" w:color="auto"/>
        <w:left w:val="none" w:sz="0" w:space="0" w:color="auto"/>
        <w:bottom w:val="none" w:sz="0" w:space="0" w:color="auto"/>
        <w:right w:val="none" w:sz="0" w:space="0" w:color="auto"/>
      </w:divBdr>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67215743">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06878978">
      <w:bodyDiv w:val="1"/>
      <w:marLeft w:val="0"/>
      <w:marRight w:val="0"/>
      <w:marTop w:val="0"/>
      <w:marBottom w:val="0"/>
      <w:divBdr>
        <w:top w:val="none" w:sz="0" w:space="0" w:color="auto"/>
        <w:left w:val="none" w:sz="0" w:space="0" w:color="auto"/>
        <w:bottom w:val="none" w:sz="0" w:space="0" w:color="auto"/>
        <w:right w:val="none" w:sz="0" w:space="0" w:color="auto"/>
      </w:divBdr>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uro.who.int/en/health-topics/health-emergencies/coronavirus-covid-19/news/news/2021/12/what-you-need-to-know-about-the-new-omicron-covid-19-variant" TargetMode="External"/><Relationship Id="rId18" Type="http://schemas.openxmlformats.org/officeDocument/2006/relationships/hyperlink" Target="https://www.ema.europa.eu/en/news/ema-ecdc-recommendations-heterologous-vaccination-courses-against-covid-19" TargetMode="External"/><Relationship Id="rId26" Type="http://schemas.openxmlformats.org/officeDocument/2006/relationships/hyperlink" Target="https://www.gov.uk/guidance/the-r-value-and-growth-rate" TargetMode="External"/><Relationship Id="rId39" Type="http://schemas.openxmlformats.org/officeDocument/2006/relationships/hyperlink" Target="https://www.kcl.ac.uk/news/funding-to-extend-research-into-impact-of-covid-19-on-nurse-and-midwife-wellbeing" TargetMode="External"/><Relationship Id="rId21" Type="http://schemas.openxmlformats.org/officeDocument/2006/relationships/hyperlink" Target="https://www.science.org/doi/10.1126/science.abm0811" TargetMode="External"/><Relationship Id="rId34" Type="http://schemas.openxmlformats.org/officeDocument/2006/relationships/hyperlink" Target="https://www.thelancet.com/journals/lanpub/article/PIIS2468-2667(21)00096-7/fulltext" TargetMode="External"/><Relationship Id="rId42" Type="http://schemas.openxmlformats.org/officeDocument/2006/relationships/hyperlink" Target="https://www.trftlibraryknowledge.com/coronavirus.html" TargetMode="External"/><Relationship Id="rId47" Type="http://schemas.openxmlformats.org/officeDocument/2006/relationships/hyperlink" Target="https://www.trftlibraryknowledge.com/" TargetMode="External"/><Relationship Id="rId50" Type="http://schemas.openxmlformats.org/officeDocument/2006/relationships/hyperlink" Target="https://twitter.com/hashtag/covid19rftlks?src=hashtag_click" TargetMode="External"/><Relationship Id="rId55" Type="http://schemas.openxmlformats.org/officeDocument/2006/relationships/fontTable" Target="fontTable.xml"/><Relationship Id="rId7" Type="http://schemas.openxmlformats.org/officeDocument/2006/relationships/hyperlink" Target="https://www.ema.europa.eu/en/news/ema-recommends-approval-use-roactemra-adults-severe-covid-19" TargetMode="External"/><Relationship Id="rId12" Type="http://schemas.openxmlformats.org/officeDocument/2006/relationships/hyperlink" Target="https://www.bmj.com/content/375/bmj-2021-066232" TargetMode="External"/><Relationship Id="rId17" Type="http://schemas.openxmlformats.org/officeDocument/2006/relationships/hyperlink" Target="https://www.nihr.ac.uk/news/study-supports-flexible-second-dose-options-following-pfizer-or-oxford-astrazeneca-jabs/29510" TargetMode="External"/><Relationship Id="rId25" Type="http://schemas.openxmlformats.org/officeDocument/2006/relationships/hyperlink" Target="https://www.bmj.com/content/375/bmj.n2965" TargetMode="External"/><Relationship Id="rId33" Type="http://schemas.openxmlformats.org/officeDocument/2006/relationships/hyperlink" Target="https://www.bmj.com/content/375/bmj.n2923" TargetMode="External"/><Relationship Id="rId38" Type="http://schemas.openxmlformats.org/officeDocument/2006/relationships/hyperlink" Target="https://www.health.org.uk/news-and-comment/news/health-foundation-highlights-need-for-a-credible-and-realistic-strategy-to-bring-nhs-waiting-lists-down" TargetMode="External"/><Relationship Id="rId46" Type="http://schemas.openxmlformats.org/officeDocument/2006/relationships/hyperlink" Target="https://www.trftlibraryknowledge.com/health-newsfeeds.html" TargetMode="External"/><Relationship Id="rId2" Type="http://schemas.openxmlformats.org/officeDocument/2006/relationships/styles" Target="styles.xml"/><Relationship Id="rId16" Type="http://schemas.openxmlformats.org/officeDocument/2006/relationships/hyperlink" Target="https://www.theguardian.com/society/2021/dec/06/moderna-or-novavax-after-astrazeneca-jab-confers-high-covid-immunity-study-finds" TargetMode="External"/><Relationship Id="rId20" Type="http://schemas.openxmlformats.org/officeDocument/2006/relationships/hyperlink" Target="https://www.ukri.org/news/spike-protein-encounters-determine-protection-against-variants/?utm_source=Twitter&amp;utm_medium=social&amp;utm_campaign=Orlo" TargetMode="External"/><Relationship Id="rId29" Type="http://schemas.openxmlformats.org/officeDocument/2006/relationships/hyperlink" Target="https://www.gov.uk/government/publications/covid-19-variants-genomically-confirmed-case-numbers" TargetMode="External"/><Relationship Id="rId41" Type="http://schemas.openxmlformats.org/officeDocument/2006/relationships/hyperlink" Target="https://www.trftlibraryknowledge.com/" TargetMode="External"/><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qvia.com/Insights/The-IQVIA-Institute/Reports/Assessing-the-Global-Burden-of-Post-COVID-19-Conditions" TargetMode="External"/><Relationship Id="rId24" Type="http://schemas.openxmlformats.org/officeDocument/2006/relationships/hyperlink" Target="https://www.nejm.org/doi/pdf/10.1056/NEJMoa2115926?articleTools=true" TargetMode="External"/><Relationship Id="rId32" Type="http://schemas.openxmlformats.org/officeDocument/2006/relationships/hyperlink" Target="https://www.theguardian.com/world/2021/dec/09/plan-b-measures-omicron-variant-growth-uk-analysis" TargetMode="External"/><Relationship Id="rId37" Type="http://schemas.openxmlformats.org/officeDocument/2006/relationships/hyperlink" Target="https://www.theguardian.com/society/2021/dec/09/almost-6-million-people-on-waiting-lists-for-nhs-surgery-in-england" TargetMode="External"/><Relationship Id="rId40" Type="http://schemas.openxmlformats.org/officeDocument/2006/relationships/hyperlink" Target="https://www.health.org.uk/publications/long-reads/what-has-happened-to-non-covid-mortality-during-the-pandemic" TargetMode="External"/><Relationship Id="rId45" Type="http://schemas.openxmlformats.org/officeDocument/2006/relationships/hyperlink" Target="http://www.trftlibraryknowledge.com/" TargetMode="External"/><Relationship Id="rId53"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bmj.com/content/375/bmj.n3030" TargetMode="External"/><Relationship Id="rId23" Type="http://schemas.openxmlformats.org/officeDocument/2006/relationships/hyperlink" Target="https://www.nejm.org/doi/pdf/10.1056/NEJMoa2115624?articleTools=true" TargetMode="External"/><Relationship Id="rId28" Type="http://schemas.openxmlformats.org/officeDocument/2006/relationships/hyperlink" Target="https://www.england.nhs.uk/2021/12/people-40-and-over-to-get-their-lifesaving-booster-jab-three-months-on-from-second-dose/" TargetMode="External"/><Relationship Id="rId36" Type="http://schemas.openxmlformats.org/officeDocument/2006/relationships/hyperlink" Target="https://www.england.nhs.uk/2021/12/busiest-november-ever-as-new-figures-show-pressures-on-nhs-staff/" TargetMode="External"/><Relationship Id="rId49" Type="http://schemas.openxmlformats.org/officeDocument/2006/relationships/hyperlink" Target="https://trfthealthweeklydigest.wordpress.com/" TargetMode="External"/><Relationship Id="rId10" Type="http://schemas.openxmlformats.org/officeDocument/2006/relationships/hyperlink" Target="https://www.thelancet.com/action/showPdf?pii=S2666-7762%2821%2900256-8" TargetMode="External"/><Relationship Id="rId19" Type="http://schemas.openxmlformats.org/officeDocument/2006/relationships/hyperlink" Target="https://www.thelancet.com/action/showPdf?pii=S1473-3099%2821%2900681-2" TargetMode="External"/><Relationship Id="rId31" Type="http://schemas.openxmlformats.org/officeDocument/2006/relationships/hyperlink" Target="https://www.bbc.co.uk/news/uk-59602664?at_medium=RSS&amp;at_campaign=KARANGA" TargetMode="External"/><Relationship Id="rId44" Type="http://schemas.openxmlformats.org/officeDocument/2006/relationships/hyperlink" Target="https://twitter.com/hashtag/covid19rftlks?src=hashtag_click" TargetMode="External"/><Relationship Id="rId52" Type="http://schemas.openxmlformats.org/officeDocument/2006/relationships/hyperlink" Target="https://www.trftlibraryknowledge.com/health-newsfeeds.html" TargetMode="External"/><Relationship Id="rId4" Type="http://schemas.openxmlformats.org/officeDocument/2006/relationships/webSettings" Target="webSettings.xml"/><Relationship Id="rId9" Type="http://schemas.openxmlformats.org/officeDocument/2006/relationships/hyperlink" Target="https://app.magicapp.org/" TargetMode="External"/><Relationship Id="rId14" Type="http://schemas.openxmlformats.org/officeDocument/2006/relationships/hyperlink" Target="https://www.thelancet.com/action/showPdf?pii=S0140-6736%2821%2902718-5" TargetMode="External"/><Relationship Id="rId22" Type="http://schemas.openxmlformats.org/officeDocument/2006/relationships/hyperlink" Target="https://ukhsa.blog.gov.uk/2021/12/08/investigating-omicron-what-ukhsa-is-doing-now/" TargetMode="External"/><Relationship Id="rId27" Type="http://schemas.openxmlformats.org/officeDocument/2006/relationships/hyperlink" Target="https://www.england.nhs.uk/2021/12/booster-bookings-surge-as-national-booking-service-expands-to-over-40s-three-months-on-from-second-dose/" TargetMode="External"/><Relationship Id="rId30" Type="http://schemas.openxmlformats.org/officeDocument/2006/relationships/hyperlink" Target="https://www.gov.uk/government/news/prime-minister-confirms-move-to-plan-b-in-england" TargetMode="External"/><Relationship Id="rId35" Type="http://schemas.openxmlformats.org/officeDocument/2006/relationships/hyperlink" Target="https://evidence.nihr.ac.uk/alert/stressing-personal-benefits-of-covid-vaccine-could-reduce-hesitancy/" TargetMode="External"/><Relationship Id="rId43" Type="http://schemas.openxmlformats.org/officeDocument/2006/relationships/hyperlink" Target="https://trfthealthweeklydigest.wordpress.com/" TargetMode="External"/><Relationship Id="rId48" Type="http://schemas.openxmlformats.org/officeDocument/2006/relationships/hyperlink" Target="https://www.trftlibraryknowledge.com/coronavirus.html" TargetMode="External"/><Relationship Id="rId56" Type="http://schemas.openxmlformats.org/officeDocument/2006/relationships/theme" Target="theme/theme1.xml"/><Relationship Id="rId8" Type="http://schemas.openxmlformats.org/officeDocument/2006/relationships/hyperlink" Target="https://www.gov.uk/government/news/uks-most-vulnerable-people-to-receive-life-saving-covid-19-treatments-in-the-community" TargetMode="External"/><Relationship Id="rId51" Type="http://schemas.openxmlformats.org/officeDocument/2006/relationships/hyperlink" Target="http://www.trftlibraryknowledge.com/"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374</TotalTime>
  <Pages>11</Pages>
  <Words>3666</Words>
  <Characters>20899</Characters>
  <Application>Microsoft Office Word</Application>
  <DocSecurity>8</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24516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Carrick Andrew</cp:lastModifiedBy>
  <cp:revision>11</cp:revision>
  <cp:lastPrinted>2017-09-22T10:09:00Z</cp:lastPrinted>
  <dcterms:created xsi:type="dcterms:W3CDTF">2021-12-08T11:23:00Z</dcterms:created>
  <dcterms:modified xsi:type="dcterms:W3CDTF">2021-12-10T15:17:00Z</dcterms:modified>
</cp:coreProperties>
</file>