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57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26865" w:rsidP="00836C56">
                            <w:pPr>
                              <w:jc w:val="right"/>
                              <w:rPr>
                                <w:color w:val="FFFFFF" w:themeColor="background1"/>
                                <w:sz w:val="32"/>
                                <w:szCs w:val="36"/>
                              </w:rPr>
                            </w:pPr>
                            <w:r>
                              <w:rPr>
                                <w:color w:val="FFFFFF" w:themeColor="background1"/>
                                <w:sz w:val="32"/>
                                <w:szCs w:val="36"/>
                              </w:rPr>
                              <w:t>19</w:t>
                            </w:r>
                            <w:r w:rsidRPr="00226865">
                              <w:rPr>
                                <w:color w:val="FFFFFF" w:themeColor="background1"/>
                                <w:sz w:val="32"/>
                                <w:szCs w:val="36"/>
                                <w:vertAlign w:val="superscript"/>
                              </w:rPr>
                              <w:t>th</w:t>
                            </w:r>
                            <w:r>
                              <w:rPr>
                                <w:color w:val="FFFFFF" w:themeColor="background1"/>
                                <w:sz w:val="32"/>
                                <w:szCs w:val="36"/>
                              </w:rPr>
                              <w:t xml:space="preserve"> November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26865" w:rsidP="00836C56">
                      <w:pPr>
                        <w:jc w:val="right"/>
                        <w:rPr>
                          <w:color w:val="FFFFFF" w:themeColor="background1"/>
                          <w:sz w:val="32"/>
                          <w:szCs w:val="36"/>
                        </w:rPr>
                      </w:pPr>
                      <w:r>
                        <w:rPr>
                          <w:color w:val="FFFFFF" w:themeColor="background1"/>
                          <w:sz w:val="32"/>
                          <w:szCs w:val="36"/>
                        </w:rPr>
                        <w:t>19</w:t>
                      </w:r>
                      <w:r w:rsidRPr="00226865">
                        <w:rPr>
                          <w:color w:val="FFFFFF" w:themeColor="background1"/>
                          <w:sz w:val="32"/>
                          <w:szCs w:val="36"/>
                          <w:vertAlign w:val="superscript"/>
                        </w:rPr>
                        <w:t>th</w:t>
                      </w:r>
                      <w:r>
                        <w:rPr>
                          <w:color w:val="FFFFFF" w:themeColor="background1"/>
                          <w:sz w:val="32"/>
                          <w:szCs w:val="36"/>
                        </w:rPr>
                        <w:t xml:space="preserve"> November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E876C0" w:rsidRDefault="00DE4846" w:rsidP="007F331F">
      <w:pPr>
        <w:rPr>
          <w:b/>
          <w:color w:val="943634" w:themeColor="accent2" w:themeShade="BF"/>
          <w:sz w:val="16"/>
          <w:szCs w:val="16"/>
        </w:rPr>
      </w:pPr>
    </w:p>
    <w:p w:rsidR="00237327" w:rsidRDefault="00237327" w:rsidP="0023732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3842">
        <w:rPr>
          <w:rFonts w:eastAsiaTheme="minorEastAsia"/>
          <w:caps/>
          <w:spacing w:val="15"/>
        </w:rPr>
        <w:t>Association of SARS-CoV-2 Infection With Psychological Distress, Psychotropic Prescribing, Fatigue, and Sleep Problems Among UK Primary Care Patients</w:t>
      </w:r>
    </w:p>
    <w:p w:rsidR="00237327" w:rsidRDefault="00237327" w:rsidP="00237327">
      <w:pPr>
        <w:spacing w:before="200"/>
        <w:rPr>
          <w:rFonts w:eastAsiaTheme="minorEastAsia"/>
        </w:rPr>
      </w:pPr>
      <w:r>
        <w:rPr>
          <w:rFonts w:eastAsiaTheme="minorEastAsia"/>
        </w:rPr>
        <w:t>JAMA | 16</w:t>
      </w:r>
      <w:r w:rsidRPr="00310977">
        <w:rPr>
          <w:rFonts w:eastAsiaTheme="minorEastAsia"/>
          <w:vertAlign w:val="superscript"/>
        </w:rPr>
        <w:t>th</w:t>
      </w:r>
      <w:r>
        <w:rPr>
          <w:rFonts w:eastAsiaTheme="minorEastAsia"/>
        </w:rPr>
        <w:t xml:space="preserve"> November 2021</w:t>
      </w:r>
    </w:p>
    <w:p w:rsidR="00237327" w:rsidRDefault="00237327" w:rsidP="00237327">
      <w:pPr>
        <w:spacing w:before="200"/>
        <w:rPr>
          <w:rFonts w:eastAsiaTheme="minorEastAsia"/>
        </w:rPr>
      </w:pPr>
      <w:r w:rsidRPr="00310977">
        <w:rPr>
          <w:rFonts w:eastAsiaTheme="minorEastAsia"/>
        </w:rPr>
        <w:t>Many people infected with SARS-CoV-2 experience symptoms beyond the acute phase of COVID-19, particularly fatigue, brain fog, and sleep problems.</w:t>
      </w:r>
      <w:r>
        <w:rPr>
          <w:rFonts w:eastAsiaTheme="minorEastAsia"/>
          <w:vertAlign w:val="superscript"/>
        </w:rPr>
        <w:t xml:space="preserve"> </w:t>
      </w:r>
      <w:r w:rsidRPr="00310977">
        <w:rPr>
          <w:rFonts w:eastAsiaTheme="minorEastAsia"/>
        </w:rPr>
        <w:t xml:space="preserve">Studies have also reported worsening mental health and an increased risk of psychiatric illness after COVID-19, and mechanisms linking the immune system, inflammation, and the brain </w:t>
      </w:r>
      <w:proofErr w:type="gramStart"/>
      <w:r w:rsidRPr="00310977">
        <w:rPr>
          <w:rFonts w:eastAsiaTheme="minorEastAsia"/>
        </w:rPr>
        <w:t>have been proposed</w:t>
      </w:r>
      <w:proofErr w:type="gramEnd"/>
      <w:r>
        <w:rPr>
          <w:rFonts w:eastAsiaTheme="minorEastAsia"/>
        </w:rPr>
        <w:t>.</w:t>
      </w:r>
    </w:p>
    <w:p w:rsidR="00237327" w:rsidRDefault="00237327" w:rsidP="00237327">
      <w:pPr>
        <w:spacing w:before="200"/>
        <w:rPr>
          <w:rFonts w:eastAsiaTheme="minorEastAsia"/>
        </w:rPr>
      </w:pPr>
      <w:r>
        <w:rPr>
          <w:rFonts w:eastAsiaTheme="minorEastAsia"/>
        </w:rPr>
        <w:t>The objective of this study was to</w:t>
      </w:r>
      <w:r w:rsidRPr="00310977">
        <w:rPr>
          <w:rFonts w:eastAsiaTheme="minorEastAsia"/>
        </w:rPr>
        <w:t xml:space="preserve"> assess risk of risk of incident or repeat psychiatric illness, fatigue, or sleep problems following SARS-CoV-2 infection and to analyse changes according to demographic subgroups.</w:t>
      </w:r>
    </w:p>
    <w:p w:rsidR="00237327" w:rsidRDefault="00237327" w:rsidP="00237327">
      <w:pPr>
        <w:spacing w:before="200"/>
        <w:rPr>
          <w:rFonts w:eastAsiaTheme="minorEastAsia"/>
        </w:rPr>
      </w:pPr>
      <w:r>
        <w:rPr>
          <w:rFonts w:eastAsiaTheme="minorEastAsia"/>
        </w:rPr>
        <w:t>T</w:t>
      </w:r>
      <w:r w:rsidRPr="00310977">
        <w:rPr>
          <w:rFonts w:eastAsiaTheme="minorEastAsia"/>
        </w:rPr>
        <w:t xml:space="preserve">his cohort study of individuals registered at an English primary care practice during the pandemic, </w:t>
      </w:r>
      <w:r>
        <w:rPr>
          <w:rFonts w:eastAsiaTheme="minorEastAsia"/>
        </w:rPr>
        <w:t>found</w:t>
      </w:r>
      <w:r w:rsidRPr="00310977">
        <w:rPr>
          <w:rFonts w:eastAsiaTheme="minorEastAsia"/>
        </w:rPr>
        <w:t xml:space="preserve"> consistent evidence that SARS-CoV-2 infection was associated with increased risk of fatigue and sleep problems. However, the results from the negative control analysis suggest that unobserved confounding may be responsible for at least some of the positive association between COVID-19 and psychiatric morbidity.</w:t>
      </w:r>
    </w:p>
    <w:p w:rsidR="000E78EA" w:rsidRDefault="00237327" w:rsidP="00106DF8">
      <w:pPr>
        <w:spacing w:before="200"/>
        <w:rPr>
          <w:rStyle w:val="Hyperlink"/>
          <w:rFonts w:eastAsiaTheme="minorEastAsia"/>
        </w:rPr>
      </w:pPr>
      <w:r>
        <w:rPr>
          <w:rFonts w:eastAsiaTheme="minorEastAsia"/>
        </w:rPr>
        <w:t xml:space="preserve">Full paper: </w:t>
      </w:r>
      <w:hyperlink r:id="rId7" w:history="1">
        <w:r w:rsidRPr="00310977">
          <w:rPr>
            <w:rStyle w:val="Hyperlink"/>
            <w:rFonts w:eastAsiaTheme="minorEastAsia"/>
          </w:rPr>
          <w:t>Association of SARS-CoV-2 infection with psychological distress, psychotropic prescribing, fatigue, and sleep problems among UK primary care patients</w:t>
        </w:r>
      </w:hyperlink>
      <w:r w:rsidR="000E78EA">
        <w:rPr>
          <w:rStyle w:val="Hyperlink"/>
          <w:rFonts w:eastAsiaTheme="minorEastAsia"/>
        </w:rPr>
        <w:br/>
      </w:r>
    </w:p>
    <w:p w:rsidR="000E78EA" w:rsidRDefault="000E78EA" w:rsidP="000E78E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B7922">
        <w:rPr>
          <w:rFonts w:eastAsiaTheme="minorEastAsia"/>
          <w:caps/>
          <w:spacing w:val="15"/>
        </w:rPr>
        <w:t>Effectiveness of public health measures in reducing the incidence of covid-19, SARS-CoV-2 transmission, and covid-19 mortality</w:t>
      </w:r>
    </w:p>
    <w:p w:rsidR="000E78EA" w:rsidRDefault="000E78EA" w:rsidP="000E78EA">
      <w:pPr>
        <w:spacing w:before="200"/>
        <w:rPr>
          <w:rFonts w:eastAsiaTheme="minorEastAsia"/>
          <w:bCs/>
        </w:rPr>
      </w:pPr>
      <w:r w:rsidRPr="00BB7922">
        <w:rPr>
          <w:rFonts w:eastAsiaTheme="minorEastAsia"/>
          <w:bCs/>
        </w:rPr>
        <w:t xml:space="preserve">BMJ </w:t>
      </w:r>
      <w:r>
        <w:rPr>
          <w:rFonts w:eastAsiaTheme="minorEastAsia"/>
          <w:bCs/>
        </w:rPr>
        <w:t xml:space="preserve">| </w:t>
      </w:r>
      <w:r w:rsidRPr="00BB7922">
        <w:rPr>
          <w:rFonts w:eastAsiaTheme="minorEastAsia"/>
          <w:bCs/>
        </w:rPr>
        <w:t>2021;</w:t>
      </w:r>
      <w:r>
        <w:rPr>
          <w:rFonts w:eastAsiaTheme="minorEastAsia"/>
          <w:bCs/>
        </w:rPr>
        <w:t xml:space="preserve"> </w:t>
      </w:r>
      <w:r w:rsidRPr="00BB7922">
        <w:rPr>
          <w:rFonts w:eastAsiaTheme="minorEastAsia"/>
          <w:bCs/>
        </w:rPr>
        <w:t>375:</w:t>
      </w:r>
      <w:r>
        <w:rPr>
          <w:rFonts w:eastAsiaTheme="minorEastAsia"/>
          <w:bCs/>
        </w:rPr>
        <w:t xml:space="preserve"> </w:t>
      </w:r>
      <w:r w:rsidRPr="00BB7922">
        <w:rPr>
          <w:rFonts w:eastAsiaTheme="minorEastAsia"/>
          <w:bCs/>
        </w:rPr>
        <w:t>e068302</w:t>
      </w:r>
      <w:r>
        <w:rPr>
          <w:rFonts w:eastAsiaTheme="minorEastAsia"/>
          <w:bCs/>
        </w:rPr>
        <w:t xml:space="preserve"> | 18</w:t>
      </w:r>
      <w:r w:rsidRPr="00BB7922">
        <w:rPr>
          <w:rFonts w:eastAsiaTheme="minorEastAsia"/>
          <w:bCs/>
          <w:vertAlign w:val="superscript"/>
        </w:rPr>
        <w:t>th</w:t>
      </w:r>
      <w:r>
        <w:rPr>
          <w:rFonts w:eastAsiaTheme="minorEastAsia"/>
          <w:bCs/>
        </w:rPr>
        <w:t xml:space="preserve"> November 2021</w:t>
      </w:r>
    </w:p>
    <w:p w:rsidR="000E78EA" w:rsidRDefault="000E78EA" w:rsidP="000E78EA">
      <w:pPr>
        <w:spacing w:before="200"/>
        <w:rPr>
          <w:rFonts w:eastAsiaTheme="minorEastAsia"/>
        </w:rPr>
      </w:pPr>
      <w:r w:rsidRPr="00BB7922">
        <w:rPr>
          <w:rFonts w:eastAsiaTheme="minorEastAsia"/>
        </w:rPr>
        <w:t xml:space="preserve">This systematic review and meta-analysis suggests that several personal protective and social measures, including handwashing, mask wearing, and physical distancing are associated with reductions in the incidence covid-19. Public health efforts to implement public health measures should consider community health and sociocultural needs, and future research </w:t>
      </w:r>
      <w:proofErr w:type="gramStart"/>
      <w:r w:rsidRPr="00BB7922">
        <w:rPr>
          <w:rFonts w:eastAsiaTheme="minorEastAsia"/>
        </w:rPr>
        <w:t>is needed</w:t>
      </w:r>
      <w:proofErr w:type="gramEnd"/>
      <w:r w:rsidRPr="00BB7922">
        <w:rPr>
          <w:rFonts w:eastAsiaTheme="minorEastAsia"/>
        </w:rPr>
        <w:t xml:space="preserve"> to better understand the effectiveness of public health measures in the context of covid-19 vaccination.</w:t>
      </w:r>
    </w:p>
    <w:p w:rsidR="000E78EA" w:rsidRDefault="000E78EA" w:rsidP="000E78EA">
      <w:pPr>
        <w:spacing w:before="200"/>
        <w:rPr>
          <w:rStyle w:val="Hyperlink"/>
          <w:rFonts w:eastAsiaTheme="minorEastAsia"/>
        </w:rPr>
      </w:pPr>
      <w:r>
        <w:rPr>
          <w:rFonts w:eastAsiaTheme="minorEastAsia"/>
        </w:rPr>
        <w:t xml:space="preserve">Full paper: </w:t>
      </w:r>
      <w:hyperlink r:id="rId8" w:history="1">
        <w:r w:rsidRPr="00BB7922">
          <w:rPr>
            <w:rStyle w:val="Hyperlink"/>
            <w:rFonts w:eastAsiaTheme="minorEastAsia"/>
          </w:rPr>
          <w:t>Effectiveness of public health measures in reducing the incidence of covid-19, SARS-CoV-2 transmission, and covid-19 mortality: systematic review and meta-analysis</w:t>
        </w:r>
      </w:hyperlink>
    </w:p>
    <w:p w:rsidR="00E876C0" w:rsidRDefault="00E876C0" w:rsidP="0018395B">
      <w:pPr>
        <w:spacing w:before="200"/>
        <w:rPr>
          <w:rFonts w:ascii="Calibri" w:eastAsia="Times New Roman" w:hAnsi="Calibri" w:cs="Times New Roman"/>
          <w:bCs/>
        </w:rPr>
      </w:pPr>
    </w:p>
    <w:p w:rsidR="00E876C0" w:rsidRDefault="0018395B" w:rsidP="0018395B">
      <w:pPr>
        <w:spacing w:before="200"/>
        <w:rPr>
          <w:rFonts w:ascii="Calibri" w:eastAsia="Times New Roman" w:hAnsi="Calibri" w:cs="Times New Roman"/>
          <w:bCs/>
        </w:rPr>
      </w:pPr>
      <w:r w:rsidRPr="0018395B">
        <w:rPr>
          <w:rFonts w:ascii="Calibri" w:eastAsia="Times New Roman" w:hAnsi="Calibri" w:cs="Times New Roman"/>
          <w:bCs/>
        </w:rPr>
        <w:t xml:space="preserve">See also: </w:t>
      </w:r>
    </w:p>
    <w:p w:rsidR="00E876C0" w:rsidRPr="00E876C0" w:rsidRDefault="0018395B" w:rsidP="008B30B7">
      <w:pPr>
        <w:pStyle w:val="ListParagraph"/>
        <w:numPr>
          <w:ilvl w:val="0"/>
          <w:numId w:val="3"/>
        </w:numPr>
        <w:spacing w:before="200"/>
        <w:rPr>
          <w:rFonts w:ascii="Calibri" w:eastAsia="Times New Roman" w:hAnsi="Calibri" w:cs="Times New Roman"/>
        </w:rPr>
      </w:pPr>
      <w:hyperlink r:id="rId9" w:history="1">
        <w:r w:rsidRPr="00E876C0">
          <w:rPr>
            <w:rFonts w:ascii="Calibri" w:eastAsia="Times New Roman" w:hAnsi="Calibri" w:cs="Times New Roman"/>
            <w:bCs/>
            <w:color w:val="0000FF" w:themeColor="hyperlink"/>
            <w:u w:val="single"/>
          </w:rPr>
          <w:t>Public health measures for covid-19</w:t>
        </w:r>
      </w:hyperlink>
      <w:r w:rsidRPr="00E876C0">
        <w:rPr>
          <w:rFonts w:ascii="Calibri" w:eastAsia="Times New Roman" w:hAnsi="Calibri" w:cs="Times New Roman"/>
          <w:bCs/>
        </w:rPr>
        <w:t xml:space="preserve"> | BMJ [editorial]</w:t>
      </w:r>
    </w:p>
    <w:p w:rsidR="00E876C0" w:rsidRPr="00E876C0" w:rsidRDefault="00E876C0" w:rsidP="008B30B7">
      <w:pPr>
        <w:pStyle w:val="ListParagraph"/>
        <w:numPr>
          <w:ilvl w:val="0"/>
          <w:numId w:val="3"/>
        </w:numPr>
        <w:spacing w:before="200"/>
        <w:rPr>
          <w:rFonts w:ascii="Calibri" w:eastAsia="Times New Roman" w:hAnsi="Calibri" w:cs="Times New Roman"/>
          <w:bCs/>
        </w:rPr>
      </w:pPr>
      <w:hyperlink r:id="rId10" w:history="1">
        <w:r w:rsidRPr="00E876C0">
          <w:rPr>
            <w:rStyle w:val="Hyperlink"/>
            <w:rFonts w:ascii="Calibri" w:eastAsia="Times New Roman" w:hAnsi="Calibri" w:cs="Times New Roman"/>
            <w:bCs/>
          </w:rPr>
          <w:t>Investing in public health is our best route to sustainable healthcare</w:t>
        </w:r>
      </w:hyperlink>
      <w:r w:rsidRPr="00E876C0">
        <w:rPr>
          <w:rFonts w:ascii="Calibri" w:eastAsia="Times New Roman" w:hAnsi="Calibri" w:cs="Times New Roman"/>
          <w:bCs/>
        </w:rPr>
        <w:t xml:space="preserve"> | BMJ</w:t>
      </w:r>
    </w:p>
    <w:p w:rsidR="0018395B" w:rsidRPr="00E876C0" w:rsidRDefault="0018395B" w:rsidP="00E876C0">
      <w:pPr>
        <w:pStyle w:val="ListParagraph"/>
        <w:spacing w:before="200"/>
        <w:rPr>
          <w:rFonts w:ascii="Calibri" w:eastAsia="Times New Roman" w:hAnsi="Calibri" w:cs="Times New Roman"/>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E78EA" w:rsidRPr="000E78EA">
        <w:rPr>
          <w:rFonts w:eastAsiaTheme="minorEastAsia"/>
          <w:caps/>
          <w:spacing w:val="15"/>
        </w:rPr>
        <w:t>Characteristics of people testing positive for COVID-19 from the Coronavirus (COVID-19) Infection Survey</w:t>
      </w:r>
    </w:p>
    <w:p w:rsidR="00823097" w:rsidRDefault="00823097" w:rsidP="00823097">
      <w:pPr>
        <w:spacing w:before="200"/>
        <w:rPr>
          <w:rFonts w:eastAsiaTheme="minorEastAsia"/>
          <w:bCs/>
        </w:rPr>
      </w:pPr>
      <w:r>
        <w:rPr>
          <w:rFonts w:eastAsiaTheme="minorEastAsia"/>
          <w:bCs/>
        </w:rPr>
        <w:t>Office for National Statistics | 17</w:t>
      </w:r>
      <w:r w:rsidRPr="00A2002D">
        <w:rPr>
          <w:rFonts w:eastAsiaTheme="minorEastAsia"/>
          <w:bCs/>
          <w:vertAlign w:val="superscript"/>
        </w:rPr>
        <w:t>th</w:t>
      </w:r>
      <w:r>
        <w:rPr>
          <w:rFonts w:eastAsiaTheme="minorEastAsia"/>
          <w:bCs/>
        </w:rPr>
        <w:t xml:space="preserve"> November 2021</w:t>
      </w:r>
    </w:p>
    <w:p w:rsidR="000E78EA" w:rsidRPr="000E78EA" w:rsidRDefault="000E78EA" w:rsidP="000E78EA">
      <w:pPr>
        <w:spacing w:before="200"/>
        <w:rPr>
          <w:rFonts w:eastAsiaTheme="minorEastAsia"/>
          <w:bCs/>
        </w:rPr>
      </w:pPr>
      <w:r w:rsidRPr="000E78EA">
        <w:rPr>
          <w:rFonts w:eastAsiaTheme="minorEastAsia"/>
          <w:bCs/>
        </w:rPr>
        <w:t>Main points</w:t>
      </w:r>
      <w:r w:rsidR="00823097">
        <w:rPr>
          <w:rFonts w:eastAsiaTheme="minorEastAsia"/>
          <w:bCs/>
        </w:rPr>
        <w:t>:</w:t>
      </w:r>
    </w:p>
    <w:p w:rsidR="000E78EA" w:rsidRPr="000E78EA" w:rsidRDefault="000E78EA" w:rsidP="008B30B7">
      <w:pPr>
        <w:numPr>
          <w:ilvl w:val="0"/>
          <w:numId w:val="1"/>
        </w:numPr>
        <w:spacing w:before="200"/>
        <w:rPr>
          <w:rFonts w:eastAsiaTheme="minorEastAsia"/>
        </w:rPr>
      </w:pPr>
      <w:proofErr w:type="gramStart"/>
      <w:r w:rsidRPr="000E78EA">
        <w:rPr>
          <w:rFonts w:eastAsiaTheme="minorEastAsia"/>
        </w:rPr>
        <w:t>Those who have received at least one dose of a coronavirus (COVID-19) vaccine continued to be less likely to test positive for COVID-19 than those not vaccinated; people who received a booster were even less likely to test positive than those who had a second dose of Astra Zeneca or Pfizer more than 90 days ago in the fortnight ending 6 November 2021.</w:t>
      </w:r>
      <w:proofErr w:type="gramEnd"/>
    </w:p>
    <w:p w:rsidR="000E78EA" w:rsidRPr="000E78EA" w:rsidRDefault="000E78EA" w:rsidP="008B30B7">
      <w:pPr>
        <w:numPr>
          <w:ilvl w:val="0"/>
          <w:numId w:val="1"/>
        </w:numPr>
        <w:spacing w:before="200"/>
        <w:rPr>
          <w:rFonts w:eastAsiaTheme="minorEastAsia"/>
        </w:rPr>
      </w:pPr>
      <w:r w:rsidRPr="000E78EA">
        <w:rPr>
          <w:rFonts w:eastAsiaTheme="minorEastAsia"/>
        </w:rPr>
        <w:t>Those living in a household of two or more people continued to be more likely to test positive than those living in single occupancy households in the fortnight ending 6 November 2021.</w:t>
      </w:r>
    </w:p>
    <w:p w:rsidR="000E78EA" w:rsidRPr="000E78EA" w:rsidRDefault="000E78EA" w:rsidP="008B30B7">
      <w:pPr>
        <w:numPr>
          <w:ilvl w:val="0"/>
          <w:numId w:val="1"/>
        </w:numPr>
        <w:spacing w:before="200"/>
        <w:rPr>
          <w:rFonts w:eastAsiaTheme="minorEastAsia"/>
        </w:rPr>
      </w:pPr>
      <w:r w:rsidRPr="000E78EA">
        <w:rPr>
          <w:rFonts w:eastAsiaTheme="minorEastAsia"/>
        </w:rPr>
        <w:t>Adults who lived with someone aged 16 years or under were more likely to test positive, and people aged under 70 years who lived with someone aged 70 years or over were less likely to test positive, in comparison to those not living with people of these ages in the fortnight ending 6 November 2021.</w:t>
      </w:r>
    </w:p>
    <w:p w:rsidR="000E78EA" w:rsidRPr="000E78EA" w:rsidRDefault="000E78EA" w:rsidP="008B30B7">
      <w:pPr>
        <w:numPr>
          <w:ilvl w:val="0"/>
          <w:numId w:val="1"/>
        </w:numPr>
        <w:spacing w:before="200"/>
        <w:rPr>
          <w:rFonts w:eastAsiaTheme="minorEastAsia"/>
        </w:rPr>
      </w:pPr>
      <w:r w:rsidRPr="000E78EA">
        <w:rPr>
          <w:rFonts w:eastAsiaTheme="minorEastAsia"/>
        </w:rPr>
        <w:t xml:space="preserve">People working in the education industry sector continued to be more likely to test positive in comparison to those working in other sectors in the fortnight ending 6 November 2021; the higher risk is likely related to the recent high infection levels among </w:t>
      </w:r>
      <w:proofErr w:type="gramStart"/>
      <w:r w:rsidRPr="000E78EA">
        <w:rPr>
          <w:rFonts w:eastAsiaTheme="minorEastAsia"/>
        </w:rPr>
        <w:t>school aged</w:t>
      </w:r>
      <w:proofErr w:type="gramEnd"/>
      <w:r w:rsidRPr="000E78EA">
        <w:rPr>
          <w:rFonts w:eastAsiaTheme="minorEastAsia"/>
        </w:rPr>
        <w:t xml:space="preserve"> children.</w:t>
      </w:r>
    </w:p>
    <w:p w:rsidR="000E78EA" w:rsidRPr="000E78EA" w:rsidRDefault="000E78EA" w:rsidP="008B30B7">
      <w:pPr>
        <w:numPr>
          <w:ilvl w:val="0"/>
          <w:numId w:val="1"/>
        </w:numPr>
        <w:spacing w:before="200"/>
        <w:rPr>
          <w:rFonts w:eastAsiaTheme="minorEastAsia"/>
        </w:rPr>
      </w:pPr>
      <w:r w:rsidRPr="000E78EA">
        <w:rPr>
          <w:rFonts w:eastAsiaTheme="minorEastAsia"/>
        </w:rPr>
        <w:t>Those who spent more time socialising outside the home were more likely to test positive for COVID-19 in the fortnight ending 6 November 2021.</w:t>
      </w:r>
    </w:p>
    <w:p w:rsidR="000E78EA" w:rsidRDefault="000E78EA" w:rsidP="008B30B7">
      <w:pPr>
        <w:numPr>
          <w:ilvl w:val="0"/>
          <w:numId w:val="1"/>
        </w:numPr>
        <w:spacing w:before="200"/>
        <w:rPr>
          <w:rFonts w:eastAsiaTheme="minorEastAsia"/>
        </w:rPr>
      </w:pPr>
      <w:r w:rsidRPr="000E78EA">
        <w:rPr>
          <w:rFonts w:eastAsiaTheme="minorEastAsia"/>
        </w:rPr>
        <w:t>The number of socially distanced and physical contacts that adults and school-age children reported with people outside their household has continued to increase across the UK since March 2021, although school age children had fewer contacts during the school holidays.</w:t>
      </w:r>
    </w:p>
    <w:p w:rsidR="00E876C0" w:rsidRDefault="00823097" w:rsidP="00106DF8">
      <w:pPr>
        <w:spacing w:before="200"/>
        <w:rPr>
          <w:rStyle w:val="Hyperlink"/>
          <w:rFonts w:eastAsiaTheme="minorEastAsia"/>
        </w:rPr>
      </w:pPr>
      <w:r>
        <w:rPr>
          <w:rFonts w:eastAsiaTheme="minorEastAsia"/>
        </w:rPr>
        <w:t xml:space="preserve">Full detail: </w:t>
      </w:r>
      <w:hyperlink r:id="rId11" w:history="1">
        <w:r w:rsidRPr="00823097">
          <w:rPr>
            <w:rStyle w:val="Hyperlink"/>
            <w:rFonts w:eastAsiaTheme="minorEastAsia"/>
          </w:rPr>
          <w:t>Characteristics of people testing positive for COVID-19 from the Coronavirus (COVID-19) Infection Survey</w:t>
        </w:r>
      </w:hyperlink>
    </w:p>
    <w:p w:rsidR="00106DF8" w:rsidRDefault="00823097" w:rsidP="00106DF8">
      <w:pPr>
        <w:spacing w:before="200"/>
        <w:rPr>
          <w:rFonts w:eastAsiaTheme="minorEastAsia"/>
        </w:rPr>
      </w:pPr>
      <w:r>
        <w:rPr>
          <w:rFonts w:eastAsiaTheme="minorEastAsia"/>
        </w:rPr>
        <w:br/>
      </w:r>
    </w:p>
    <w:p w:rsidR="00BC006D" w:rsidRDefault="00BC006D" w:rsidP="00BC006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667CD9">
        <w:rPr>
          <w:rFonts w:eastAsiaTheme="minorEastAsia"/>
          <w:caps/>
          <w:spacing w:val="15"/>
        </w:rPr>
        <w:t>Health systems resilience during COVID-19: Lessons for building back better</w:t>
      </w:r>
      <w:r>
        <w:rPr>
          <w:rFonts w:eastAsiaTheme="minorEastAsia"/>
        </w:rPr>
        <w:t xml:space="preserve"> </w:t>
      </w:r>
    </w:p>
    <w:p w:rsidR="00BC006D" w:rsidRPr="00667CD9" w:rsidRDefault="00BC006D" w:rsidP="00BC006D">
      <w:pPr>
        <w:spacing w:before="200"/>
        <w:rPr>
          <w:rFonts w:eastAsiaTheme="minorEastAsia"/>
        </w:rPr>
      </w:pPr>
      <w:r w:rsidRPr="00667CD9">
        <w:rPr>
          <w:rFonts w:eastAsiaTheme="minorEastAsia"/>
        </w:rPr>
        <w:t>European Observatory o</w:t>
      </w:r>
      <w:r>
        <w:rPr>
          <w:rFonts w:eastAsiaTheme="minorEastAsia"/>
        </w:rPr>
        <w:t>n Health Systems and Policies | 15</w:t>
      </w:r>
      <w:r w:rsidRPr="00667CD9">
        <w:rPr>
          <w:rFonts w:eastAsiaTheme="minorEastAsia"/>
          <w:vertAlign w:val="superscript"/>
        </w:rPr>
        <w:t>th</w:t>
      </w:r>
      <w:r>
        <w:rPr>
          <w:rFonts w:eastAsiaTheme="minorEastAsia"/>
        </w:rPr>
        <w:t xml:space="preserve"> November 2021</w:t>
      </w:r>
    </w:p>
    <w:p w:rsidR="00BC006D" w:rsidRDefault="00BC006D" w:rsidP="00BC006D">
      <w:pPr>
        <w:spacing w:before="200"/>
        <w:rPr>
          <w:rFonts w:eastAsiaTheme="minorEastAsia"/>
        </w:rPr>
      </w:pPr>
      <w:r w:rsidRPr="00667CD9">
        <w:rPr>
          <w:rFonts w:eastAsiaTheme="minorEastAsia"/>
        </w:rPr>
        <w:t xml:space="preserve">This study, developed together with the WHO Regional Office for Europe and the European Commission, draws out lessons for strengthening resilience to future health threats. It gathers the evidence on how countries have managed (or not managed) to re-engineer how they work, the ways </w:t>
      </w:r>
      <w:r w:rsidRPr="00667CD9">
        <w:rPr>
          <w:rFonts w:eastAsiaTheme="minorEastAsia"/>
        </w:rPr>
        <w:lastRenderedPageBreak/>
        <w:t xml:space="preserve">in which they utilize their resources and the methods they use to face and counter the pressures exerted by both </w:t>
      </w:r>
      <w:proofErr w:type="spellStart"/>
      <w:r w:rsidRPr="00667CD9">
        <w:rPr>
          <w:rFonts w:eastAsiaTheme="minorEastAsia"/>
        </w:rPr>
        <w:t>Covid</w:t>
      </w:r>
      <w:proofErr w:type="spellEnd"/>
      <w:r w:rsidRPr="00667CD9">
        <w:rPr>
          <w:rFonts w:eastAsiaTheme="minorEastAsia"/>
        </w:rPr>
        <w:t xml:space="preserve"> and non-</w:t>
      </w:r>
      <w:proofErr w:type="spellStart"/>
      <w:r w:rsidRPr="00667CD9">
        <w:rPr>
          <w:rFonts w:eastAsiaTheme="minorEastAsia"/>
        </w:rPr>
        <w:t>Covid</w:t>
      </w:r>
      <w:proofErr w:type="spellEnd"/>
      <w:r w:rsidRPr="00667CD9">
        <w:rPr>
          <w:rFonts w:eastAsiaTheme="minorEastAsia"/>
        </w:rPr>
        <w:t xml:space="preserve"> challenges.</w:t>
      </w:r>
    </w:p>
    <w:p w:rsidR="00BC006D" w:rsidRDefault="00BC006D" w:rsidP="00BC006D">
      <w:pPr>
        <w:spacing w:before="200"/>
        <w:rPr>
          <w:rFonts w:eastAsiaTheme="minorEastAsia"/>
        </w:rPr>
      </w:pPr>
      <w:r>
        <w:rPr>
          <w:rFonts w:eastAsiaTheme="minorEastAsia"/>
        </w:rPr>
        <w:t xml:space="preserve">Full report: </w:t>
      </w:r>
      <w:hyperlink r:id="rId12" w:history="1">
        <w:r w:rsidRPr="00A156C0">
          <w:rPr>
            <w:rStyle w:val="Hyperlink"/>
            <w:rFonts w:eastAsiaTheme="minorEastAsia"/>
          </w:rPr>
          <w:t>Health systems resilience during COVID-19: Lessons for building back better</w:t>
        </w:r>
      </w:hyperlink>
    </w:p>
    <w:p w:rsidR="00BC006D" w:rsidRDefault="00BC006D" w:rsidP="00BC006D">
      <w:pPr>
        <w:spacing w:before="200"/>
        <w:rPr>
          <w:rStyle w:val="Hyperlink"/>
          <w:rFonts w:eastAsiaTheme="minorEastAsia"/>
        </w:rPr>
      </w:pPr>
      <w:r>
        <w:rPr>
          <w:rFonts w:eastAsiaTheme="minorEastAsia"/>
        </w:rPr>
        <w:t xml:space="preserve">Press release: </w:t>
      </w:r>
      <w:hyperlink r:id="rId13" w:history="1">
        <w:r w:rsidRPr="00A156C0">
          <w:rPr>
            <w:rStyle w:val="Hyperlink"/>
            <w:rFonts w:eastAsiaTheme="minorEastAsia"/>
          </w:rPr>
          <w:t>New study helps policy-makers to rebuild more resilient health systems</w:t>
        </w:r>
      </w:hyperlink>
      <w:r w:rsidR="00573B69">
        <w:rPr>
          <w:rStyle w:val="Hyperlink"/>
          <w:rFonts w:eastAsiaTheme="minorEastAsia"/>
        </w:rPr>
        <w:br/>
      </w:r>
    </w:p>
    <w:p w:rsidR="00573B69" w:rsidRPr="00573B69" w:rsidRDefault="00573B69" w:rsidP="00573B69">
      <w:pPr>
        <w:pBdr>
          <w:top w:val="single" w:sz="6" w:space="2" w:color="D4802C"/>
          <w:left w:val="single" w:sz="6" w:space="2" w:color="D4802C"/>
        </w:pBdr>
        <w:spacing w:before="300"/>
        <w:outlineLvl w:val="2"/>
        <w:rPr>
          <w:rFonts w:ascii="Calibri" w:eastAsia="Times New Roman" w:hAnsi="Calibri" w:cs="Times New Roman"/>
        </w:rPr>
      </w:pPr>
      <w:r w:rsidRPr="00573B69">
        <w:rPr>
          <w:rFonts w:ascii="Calibri" w:eastAsia="Times New Roman" w:hAnsi="Calibri" w:cs="Times New Roman"/>
          <w:b/>
          <w:caps/>
          <w:spacing w:val="15"/>
        </w:rPr>
        <w:t>Title:</w:t>
      </w:r>
      <w:r w:rsidRPr="00573B69">
        <w:rPr>
          <w:rFonts w:ascii="Calibri" w:eastAsia="Times New Roman" w:hAnsi="Calibri" w:cs="Times New Roman"/>
          <w:caps/>
          <w:spacing w:val="15"/>
        </w:rPr>
        <w:t xml:space="preserve"> The government’s preparedness for the COVID-19 pandemic: lessons for government on risk management</w:t>
      </w:r>
    </w:p>
    <w:p w:rsidR="00573B69" w:rsidRPr="00573B69" w:rsidRDefault="00573B69" w:rsidP="00573B69">
      <w:pPr>
        <w:spacing w:before="200"/>
        <w:rPr>
          <w:rFonts w:ascii="Calibri" w:eastAsia="Times New Roman" w:hAnsi="Calibri" w:cs="Times New Roman"/>
        </w:rPr>
      </w:pPr>
      <w:r w:rsidRPr="00573B69">
        <w:rPr>
          <w:rFonts w:ascii="Calibri" w:eastAsia="Times New Roman" w:hAnsi="Calibri" w:cs="Times New Roman"/>
        </w:rPr>
        <w:t>National Audit Office | 19</w:t>
      </w:r>
      <w:r w:rsidRPr="00573B69">
        <w:rPr>
          <w:rFonts w:ascii="Calibri" w:eastAsia="Times New Roman" w:hAnsi="Calibri" w:cs="Times New Roman"/>
          <w:vertAlign w:val="superscript"/>
        </w:rPr>
        <w:t>th</w:t>
      </w:r>
      <w:r w:rsidRPr="00573B69">
        <w:rPr>
          <w:rFonts w:ascii="Calibri" w:eastAsia="Times New Roman" w:hAnsi="Calibri" w:cs="Times New Roman"/>
        </w:rPr>
        <w:t xml:space="preserve"> November 2021</w:t>
      </w:r>
    </w:p>
    <w:p w:rsidR="00573B69" w:rsidRPr="00573B69" w:rsidRDefault="00573B69" w:rsidP="00573B69">
      <w:pPr>
        <w:spacing w:before="200"/>
        <w:rPr>
          <w:rFonts w:ascii="Calibri" w:eastAsia="Times New Roman" w:hAnsi="Calibri" w:cs="Times New Roman"/>
        </w:rPr>
      </w:pPr>
      <w:r w:rsidRPr="00573B69">
        <w:rPr>
          <w:rFonts w:ascii="Calibri" w:eastAsia="Times New Roman" w:hAnsi="Calibri" w:cs="Times New Roman"/>
        </w:rPr>
        <w:t>This report sets out central government’s risk analysis, planning, and mitigation strategies prior to the arrival of the COVID-19 pandemic, with the aim of drawing out wider learning for the government’s overall risk management approach. It does not cover local-level risk planning, wider aspects of resilience planning or top-level disaster response procedures. It also does not cover the government’s response to COVID-19 or how prepared it was for subsequent waves of the pandemic.</w:t>
      </w:r>
    </w:p>
    <w:p w:rsidR="00573B69" w:rsidRPr="00573B69" w:rsidRDefault="00573B69" w:rsidP="00573B69">
      <w:pPr>
        <w:spacing w:before="200"/>
        <w:rPr>
          <w:rFonts w:ascii="Calibri" w:eastAsia="Times New Roman" w:hAnsi="Calibri" w:cs="Times New Roman"/>
        </w:rPr>
      </w:pPr>
      <w:r w:rsidRPr="00573B69">
        <w:rPr>
          <w:rFonts w:ascii="Calibri" w:eastAsia="Times New Roman" w:hAnsi="Calibri" w:cs="Times New Roman"/>
        </w:rPr>
        <w:t xml:space="preserve">The report finds that the pandemic has exposed a vulnerability to whole-system emergencies – that is, emergencies that are so broad that they engage the entire system. Although the government had plans for an influenza pandemic, it did not have detailed plans for many non-health consequences and some health consequences of a pandemic like COVID-19. </w:t>
      </w:r>
    </w:p>
    <w:p w:rsidR="00573B69" w:rsidRPr="00573B69" w:rsidRDefault="00573B69" w:rsidP="00573B69">
      <w:pPr>
        <w:spacing w:before="200"/>
        <w:rPr>
          <w:rFonts w:ascii="Calibri" w:eastAsia="Times New Roman" w:hAnsi="Calibri" w:cs="Times New Roman"/>
        </w:rPr>
      </w:pPr>
      <w:r w:rsidRPr="00573B69">
        <w:rPr>
          <w:rFonts w:ascii="Calibri" w:eastAsia="Times New Roman" w:hAnsi="Calibri" w:cs="Times New Roman"/>
        </w:rPr>
        <w:t xml:space="preserve">There were lessons from previous simulation exercises that </w:t>
      </w:r>
      <w:proofErr w:type="gramStart"/>
      <w:r w:rsidRPr="00573B69">
        <w:rPr>
          <w:rFonts w:ascii="Calibri" w:eastAsia="Times New Roman" w:hAnsi="Calibri" w:cs="Times New Roman"/>
        </w:rPr>
        <w:t>were not fully implemented</w:t>
      </w:r>
      <w:proofErr w:type="gramEnd"/>
      <w:r w:rsidRPr="00573B69">
        <w:rPr>
          <w:rFonts w:ascii="Calibri" w:eastAsia="Times New Roman" w:hAnsi="Calibri" w:cs="Times New Roman"/>
        </w:rPr>
        <w:t xml:space="preserve"> and would have helped prepare for a pandemic like COVID-19. There was limited oversight and assurance of plans in place, and many pre-pandemic plans were not adequate. In addition, there is variation in capacity, capability and maturity of risk management across government departments.</w:t>
      </w:r>
    </w:p>
    <w:p w:rsidR="00573B69" w:rsidRPr="00573B69" w:rsidRDefault="00573B69" w:rsidP="00573B69">
      <w:pPr>
        <w:spacing w:before="200"/>
        <w:rPr>
          <w:rFonts w:ascii="Calibri" w:eastAsia="Times New Roman" w:hAnsi="Calibri" w:cs="Times New Roman"/>
        </w:rPr>
      </w:pPr>
      <w:r w:rsidRPr="00573B69">
        <w:rPr>
          <w:rFonts w:ascii="Calibri" w:eastAsia="Times New Roman" w:hAnsi="Calibri" w:cs="Times New Roman"/>
        </w:rPr>
        <w:t xml:space="preserve">Full report: </w:t>
      </w:r>
      <w:hyperlink r:id="rId14" w:history="1">
        <w:r w:rsidRPr="00573B69">
          <w:rPr>
            <w:rFonts w:ascii="Calibri" w:eastAsia="Times New Roman" w:hAnsi="Calibri" w:cs="Times New Roman"/>
            <w:color w:val="0000FF" w:themeColor="hyperlink"/>
            <w:u w:val="single"/>
          </w:rPr>
          <w:t>The government’s preparedness for the COVID-19 pandemic: lessons for government on risk management</w:t>
        </w:r>
      </w:hyperlink>
    </w:p>
    <w:p w:rsidR="00573B69" w:rsidRPr="00573B69" w:rsidRDefault="00573B69" w:rsidP="00573B69">
      <w:pPr>
        <w:spacing w:before="200"/>
        <w:rPr>
          <w:rFonts w:ascii="Calibri" w:eastAsia="Times New Roman" w:hAnsi="Calibri" w:cs="Times New Roman"/>
        </w:rPr>
      </w:pPr>
      <w:r w:rsidRPr="00573B69">
        <w:rPr>
          <w:rFonts w:ascii="Calibri" w:eastAsia="Times New Roman" w:hAnsi="Calibri" w:cs="Times New Roman"/>
        </w:rPr>
        <w:t xml:space="preserve">Press release: </w:t>
      </w:r>
      <w:hyperlink r:id="rId15" w:history="1">
        <w:r w:rsidRPr="00573B69">
          <w:rPr>
            <w:rFonts w:ascii="Calibri" w:eastAsia="Times New Roman" w:hAnsi="Calibri" w:cs="Times New Roman"/>
            <w:color w:val="0000FF" w:themeColor="hyperlink"/>
            <w:u w:val="single"/>
          </w:rPr>
          <w:t>The government’s preparedness for the COVID-19 pandemic: lessons for government on risk management</w:t>
        </w:r>
      </w:hyperlink>
    </w:p>
    <w:p w:rsidR="008B30B7" w:rsidRDefault="00573B69" w:rsidP="00573B69">
      <w:pPr>
        <w:spacing w:before="200"/>
        <w:rPr>
          <w:rFonts w:ascii="Calibri" w:eastAsia="Times New Roman" w:hAnsi="Calibri" w:cs="Times New Roman"/>
        </w:rPr>
      </w:pPr>
      <w:r w:rsidRPr="00573B69">
        <w:rPr>
          <w:rFonts w:ascii="Calibri" w:eastAsia="Times New Roman" w:hAnsi="Calibri" w:cs="Times New Roman"/>
        </w:rPr>
        <w:t xml:space="preserve">See also: </w:t>
      </w:r>
      <w:hyperlink r:id="rId16" w:history="1">
        <w:r w:rsidRPr="00573B69">
          <w:rPr>
            <w:rFonts w:ascii="Calibri" w:eastAsia="Times New Roman" w:hAnsi="Calibri" w:cs="Times New Roman"/>
            <w:color w:val="0000FF" w:themeColor="hyperlink"/>
            <w:u w:val="single"/>
          </w:rPr>
          <w:t xml:space="preserve">UK government </w:t>
        </w:r>
        <w:proofErr w:type="gramStart"/>
        <w:r w:rsidRPr="00573B69">
          <w:rPr>
            <w:rFonts w:ascii="Calibri" w:eastAsia="Times New Roman" w:hAnsi="Calibri" w:cs="Times New Roman"/>
            <w:color w:val="0000FF" w:themeColor="hyperlink"/>
            <w:u w:val="single"/>
          </w:rPr>
          <w:t>wasn't</w:t>
        </w:r>
        <w:proofErr w:type="gramEnd"/>
        <w:r w:rsidRPr="00573B69">
          <w:rPr>
            <w:rFonts w:ascii="Calibri" w:eastAsia="Times New Roman" w:hAnsi="Calibri" w:cs="Times New Roman"/>
            <w:color w:val="0000FF" w:themeColor="hyperlink"/>
            <w:u w:val="single"/>
          </w:rPr>
          <w:t xml:space="preserve"> ready for pandemic, report finds</w:t>
        </w:r>
      </w:hyperlink>
      <w:r w:rsidRPr="00573B69">
        <w:rPr>
          <w:rFonts w:ascii="Calibri" w:eastAsia="Times New Roman" w:hAnsi="Calibri" w:cs="Times New Roman"/>
        </w:rPr>
        <w:t xml:space="preserve"> | BBC News</w:t>
      </w:r>
    </w:p>
    <w:p w:rsidR="008B30B7" w:rsidRPr="008B30B7" w:rsidRDefault="008B30B7" w:rsidP="008B30B7">
      <w:pPr>
        <w:pBdr>
          <w:top w:val="single" w:sz="6" w:space="2" w:color="D4802C"/>
          <w:left w:val="single" w:sz="6" w:space="2" w:color="D4802C"/>
        </w:pBdr>
        <w:spacing w:before="300"/>
        <w:outlineLvl w:val="2"/>
        <w:rPr>
          <w:rFonts w:ascii="Calibri" w:eastAsia="Times New Roman" w:hAnsi="Calibri" w:cs="Times New Roman"/>
        </w:rPr>
      </w:pPr>
      <w:r w:rsidRPr="008B30B7">
        <w:rPr>
          <w:rFonts w:ascii="Calibri" w:eastAsia="Times New Roman" w:hAnsi="Calibri" w:cs="Times New Roman"/>
          <w:b/>
          <w:caps/>
          <w:spacing w:val="15"/>
        </w:rPr>
        <w:t>Title:</w:t>
      </w:r>
      <w:r w:rsidRPr="008B30B7">
        <w:rPr>
          <w:rFonts w:ascii="Calibri" w:eastAsia="Times New Roman" w:hAnsi="Calibri" w:cs="Times New Roman"/>
          <w:caps/>
          <w:spacing w:val="15"/>
        </w:rPr>
        <w:t xml:space="preserve"> England is preparing to offer annual booster vaccination, says NHS boss</w:t>
      </w:r>
    </w:p>
    <w:p w:rsidR="008B30B7" w:rsidRPr="008B30B7" w:rsidRDefault="008B30B7" w:rsidP="008B30B7">
      <w:pPr>
        <w:spacing w:before="200"/>
        <w:rPr>
          <w:rFonts w:ascii="Calibri" w:eastAsia="Times New Roman" w:hAnsi="Calibri" w:cs="Times New Roman"/>
        </w:rPr>
      </w:pPr>
      <w:r w:rsidRPr="008B30B7">
        <w:rPr>
          <w:rFonts w:ascii="Calibri" w:eastAsia="Times New Roman" w:hAnsi="Calibri" w:cs="Times New Roman"/>
        </w:rPr>
        <w:t>BMJ | 2021; 375: n2824 | 17</w:t>
      </w:r>
      <w:r w:rsidRPr="008B30B7">
        <w:rPr>
          <w:rFonts w:ascii="Calibri" w:eastAsia="Times New Roman" w:hAnsi="Calibri" w:cs="Times New Roman"/>
          <w:vertAlign w:val="superscript"/>
        </w:rPr>
        <w:t>th</w:t>
      </w:r>
      <w:r w:rsidRPr="008B30B7">
        <w:rPr>
          <w:rFonts w:ascii="Calibri" w:eastAsia="Times New Roman" w:hAnsi="Calibri" w:cs="Times New Roman"/>
        </w:rPr>
        <w:t xml:space="preserve"> November 2021</w:t>
      </w:r>
    </w:p>
    <w:p w:rsidR="008B30B7" w:rsidRPr="008B30B7" w:rsidRDefault="008B30B7" w:rsidP="008B30B7">
      <w:pPr>
        <w:spacing w:before="200"/>
        <w:rPr>
          <w:rFonts w:ascii="Calibri" w:eastAsia="Times New Roman" w:hAnsi="Calibri" w:cs="Times New Roman"/>
        </w:rPr>
      </w:pPr>
      <w:r w:rsidRPr="008B30B7">
        <w:rPr>
          <w:rFonts w:ascii="Calibri" w:eastAsia="Times New Roman" w:hAnsi="Calibri" w:cs="Times New Roman"/>
        </w:rPr>
        <w:t>The NHS in England is preparing to offer an annual covid-19 booster vaccine programme if one is required, the service’s chief executive has said.</w:t>
      </w:r>
    </w:p>
    <w:p w:rsidR="008B30B7" w:rsidRPr="008B30B7" w:rsidRDefault="008B30B7" w:rsidP="008B30B7">
      <w:pPr>
        <w:spacing w:before="200"/>
        <w:rPr>
          <w:rFonts w:ascii="Calibri" w:eastAsia="Times New Roman" w:hAnsi="Calibri" w:cs="Times New Roman"/>
        </w:rPr>
      </w:pPr>
      <w:r w:rsidRPr="008B30B7">
        <w:rPr>
          <w:rFonts w:ascii="Calibri" w:eastAsia="Times New Roman" w:hAnsi="Calibri" w:cs="Times New Roman"/>
        </w:rPr>
        <w:t xml:space="preserve">Amanda Pritchard also said that there could be “further expansions” to the Joint Committee on Vaccination and Immunisation (JCVI) advice on which groups should receive booster vaccines. Officials are awaiting more data before deciding whether annual covid-19 vaccine boosters </w:t>
      </w:r>
      <w:proofErr w:type="gramStart"/>
      <w:r w:rsidRPr="008B30B7">
        <w:rPr>
          <w:rFonts w:ascii="Calibri" w:eastAsia="Times New Roman" w:hAnsi="Calibri" w:cs="Times New Roman"/>
        </w:rPr>
        <w:t>will be recommended</w:t>
      </w:r>
      <w:proofErr w:type="gramEnd"/>
      <w:r w:rsidRPr="008B30B7">
        <w:rPr>
          <w:rFonts w:ascii="Calibri" w:eastAsia="Times New Roman" w:hAnsi="Calibri" w:cs="Times New Roman"/>
        </w:rPr>
        <w:t xml:space="preserve"> in a similar way to the annual winter flu vaccination programme.</w:t>
      </w:r>
    </w:p>
    <w:p w:rsidR="00573B69" w:rsidRDefault="008B30B7" w:rsidP="008B30B7">
      <w:pPr>
        <w:spacing w:before="200"/>
        <w:rPr>
          <w:rFonts w:ascii="Calibri" w:eastAsia="Times New Roman" w:hAnsi="Calibri" w:cs="Times New Roman"/>
        </w:rPr>
      </w:pPr>
      <w:r w:rsidRPr="008B30B7">
        <w:rPr>
          <w:rFonts w:ascii="Calibri" w:eastAsia="Times New Roman" w:hAnsi="Calibri" w:cs="Times New Roman"/>
        </w:rPr>
        <w:t xml:space="preserve">Full detail: </w:t>
      </w:r>
      <w:hyperlink r:id="rId17" w:history="1">
        <w:r w:rsidRPr="008B30B7">
          <w:rPr>
            <w:rFonts w:ascii="Calibri" w:eastAsia="Times New Roman" w:hAnsi="Calibri" w:cs="Times New Roman"/>
            <w:color w:val="0000FF" w:themeColor="hyperlink"/>
            <w:u w:val="single"/>
          </w:rPr>
          <w:t>England is preparing to offer annual booster vaccination, says NHS boss</w:t>
        </w:r>
      </w:hyperlink>
      <w:r w:rsidR="005D53D0">
        <w:rPr>
          <w:rFonts w:ascii="Calibri" w:eastAsia="Times New Roman" w:hAnsi="Calibri" w:cs="Times New Roman"/>
        </w:rPr>
        <w:br/>
      </w:r>
    </w:p>
    <w:p w:rsidR="005D53D0" w:rsidRPr="005D53D0" w:rsidRDefault="005D53D0" w:rsidP="005D53D0">
      <w:pPr>
        <w:pBdr>
          <w:top w:val="single" w:sz="6" w:space="2" w:color="D4802C"/>
          <w:left w:val="single" w:sz="6" w:space="2" w:color="D4802C"/>
        </w:pBdr>
        <w:spacing w:before="300"/>
        <w:outlineLvl w:val="2"/>
        <w:rPr>
          <w:rFonts w:ascii="Calibri" w:eastAsia="Times New Roman" w:hAnsi="Calibri" w:cs="Times New Roman"/>
        </w:rPr>
      </w:pPr>
      <w:r w:rsidRPr="005D53D0">
        <w:rPr>
          <w:rFonts w:ascii="Calibri" w:eastAsia="Times New Roman" w:hAnsi="Calibri" w:cs="Times New Roman"/>
          <w:b/>
          <w:caps/>
          <w:spacing w:val="15"/>
        </w:rPr>
        <w:t>Title:</w:t>
      </w:r>
      <w:r w:rsidRPr="005D53D0">
        <w:rPr>
          <w:rFonts w:ascii="Calibri" w:eastAsia="Times New Roman" w:hAnsi="Calibri" w:cs="Times New Roman"/>
          <w:caps/>
          <w:spacing w:val="15"/>
        </w:rPr>
        <w:t xml:space="preserve"> 13 million top-up COVID-19 vaccines given across the UK</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Department of Health and Social Care | 16</w:t>
      </w:r>
      <w:r w:rsidRPr="005D53D0">
        <w:rPr>
          <w:rFonts w:ascii="Calibri" w:eastAsia="Times New Roman" w:hAnsi="Calibri" w:cs="Times New Roman"/>
          <w:vertAlign w:val="superscript"/>
        </w:rPr>
        <w:t>th</w:t>
      </w:r>
      <w:r w:rsidRPr="005D53D0">
        <w:rPr>
          <w:rFonts w:ascii="Calibri" w:eastAsia="Times New Roman" w:hAnsi="Calibri" w:cs="Times New Roman"/>
        </w:rPr>
        <w:t xml:space="preserve"> November 2021</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More than 13 million booster jabs </w:t>
      </w:r>
      <w:proofErr w:type="gramStart"/>
      <w:r w:rsidRPr="005D53D0">
        <w:rPr>
          <w:rFonts w:ascii="Calibri" w:eastAsia="Times New Roman" w:hAnsi="Calibri" w:cs="Times New Roman"/>
        </w:rPr>
        <w:t>have been given</w:t>
      </w:r>
      <w:proofErr w:type="gramEnd"/>
      <w:r w:rsidRPr="005D53D0">
        <w:rPr>
          <w:rFonts w:ascii="Calibri" w:eastAsia="Times New Roman" w:hAnsi="Calibri" w:cs="Times New Roman"/>
        </w:rPr>
        <w:t xml:space="preserve"> across the UK, marking another significant milestone in the COVID-19 vaccination programme.</w:t>
      </w:r>
    </w:p>
    <w:p w:rsidR="005D53D0" w:rsidRPr="005D53D0" w:rsidRDefault="005D53D0" w:rsidP="008B30B7">
      <w:pPr>
        <w:numPr>
          <w:ilvl w:val="0"/>
          <w:numId w:val="2"/>
        </w:numPr>
        <w:spacing w:before="200"/>
        <w:rPr>
          <w:rFonts w:ascii="Calibri" w:eastAsia="Times New Roman" w:hAnsi="Calibri" w:cs="Times New Roman"/>
        </w:rPr>
      </w:pPr>
      <w:r w:rsidRPr="005D53D0">
        <w:rPr>
          <w:rFonts w:ascii="Calibri" w:eastAsia="Times New Roman" w:hAnsi="Calibri" w:cs="Times New Roman"/>
        </w:rPr>
        <w:t>A total of 13,147,333 people in the UK have received a COVID-19 booster or third jab</w:t>
      </w:r>
    </w:p>
    <w:p w:rsidR="005D53D0" w:rsidRPr="005D53D0" w:rsidRDefault="005D53D0" w:rsidP="008B30B7">
      <w:pPr>
        <w:numPr>
          <w:ilvl w:val="0"/>
          <w:numId w:val="2"/>
        </w:numPr>
        <w:spacing w:before="200"/>
        <w:rPr>
          <w:rFonts w:ascii="Calibri" w:eastAsia="Times New Roman" w:hAnsi="Calibri" w:cs="Times New Roman"/>
        </w:rPr>
      </w:pPr>
      <w:r w:rsidRPr="005D53D0">
        <w:rPr>
          <w:rFonts w:ascii="Calibri" w:eastAsia="Times New Roman" w:hAnsi="Calibri" w:cs="Times New Roman"/>
        </w:rPr>
        <w:t>Milestone comes as government accepts advice to extend booster programme to 40 to 49 year olds and new data shows boosters give over 90% protection against symptomatic COVID-19</w:t>
      </w:r>
    </w:p>
    <w:p w:rsidR="008B30B7"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Full detail: </w:t>
      </w:r>
      <w:hyperlink r:id="rId18" w:history="1">
        <w:r w:rsidRPr="005D53D0">
          <w:rPr>
            <w:rFonts w:ascii="Calibri" w:eastAsia="Times New Roman" w:hAnsi="Calibri" w:cs="Times New Roman"/>
            <w:color w:val="0000FF" w:themeColor="hyperlink"/>
            <w:u w:val="single"/>
          </w:rPr>
          <w:t>13 million top-up COVID-19 vaccines given across the UK</w:t>
        </w:r>
      </w:hyperlink>
      <w:r w:rsidR="008B30B7">
        <w:rPr>
          <w:rFonts w:ascii="Calibri" w:eastAsia="Times New Roman" w:hAnsi="Calibri" w:cs="Times New Roman"/>
        </w:rPr>
        <w:br/>
      </w:r>
    </w:p>
    <w:p w:rsidR="008B30B7" w:rsidRPr="008B30B7" w:rsidRDefault="008B30B7" w:rsidP="008B30B7">
      <w:pPr>
        <w:pBdr>
          <w:top w:val="single" w:sz="6" w:space="2" w:color="D4802C"/>
          <w:left w:val="single" w:sz="6" w:space="2" w:color="D4802C"/>
        </w:pBdr>
        <w:spacing w:before="300"/>
        <w:outlineLvl w:val="2"/>
        <w:rPr>
          <w:rFonts w:ascii="Calibri" w:eastAsia="Times New Roman" w:hAnsi="Calibri" w:cs="Times New Roman"/>
        </w:rPr>
      </w:pPr>
      <w:r w:rsidRPr="008B30B7">
        <w:rPr>
          <w:rFonts w:ascii="Calibri" w:eastAsia="Times New Roman" w:hAnsi="Calibri" w:cs="Times New Roman"/>
          <w:b/>
          <w:caps/>
          <w:spacing w:val="15"/>
        </w:rPr>
        <w:t>Title:</w:t>
      </w:r>
      <w:r w:rsidRPr="008B30B7">
        <w:rPr>
          <w:rFonts w:ascii="Calibri" w:eastAsia="Times New Roman" w:hAnsi="Calibri" w:cs="Times New Roman"/>
          <w:caps/>
          <w:spacing w:val="15"/>
        </w:rPr>
        <w:t xml:space="preserve"> Booster vaccine gives “significant increased protection” in over 50s</w:t>
      </w:r>
    </w:p>
    <w:p w:rsidR="008B30B7" w:rsidRPr="008B30B7" w:rsidRDefault="008B30B7" w:rsidP="008B30B7">
      <w:pPr>
        <w:spacing w:before="200"/>
        <w:rPr>
          <w:rFonts w:ascii="Calibri" w:eastAsia="Times New Roman" w:hAnsi="Calibri" w:cs="Times New Roman"/>
        </w:rPr>
      </w:pPr>
      <w:r w:rsidRPr="008B30B7">
        <w:rPr>
          <w:rFonts w:ascii="Calibri" w:eastAsia="Times New Roman" w:hAnsi="Calibri" w:cs="Times New Roman"/>
        </w:rPr>
        <w:t xml:space="preserve"> BMJ | 2021; 375: n2814 | 17</w:t>
      </w:r>
      <w:r w:rsidRPr="008B30B7">
        <w:rPr>
          <w:rFonts w:ascii="Calibri" w:eastAsia="Times New Roman" w:hAnsi="Calibri" w:cs="Times New Roman"/>
          <w:vertAlign w:val="superscript"/>
        </w:rPr>
        <w:t>th</w:t>
      </w:r>
      <w:r w:rsidRPr="008B30B7">
        <w:rPr>
          <w:rFonts w:ascii="Calibri" w:eastAsia="Times New Roman" w:hAnsi="Calibri" w:cs="Times New Roman"/>
        </w:rPr>
        <w:t xml:space="preserve"> November 2021</w:t>
      </w:r>
    </w:p>
    <w:p w:rsidR="008B30B7" w:rsidRPr="008B30B7" w:rsidRDefault="008B30B7" w:rsidP="008B30B7">
      <w:pPr>
        <w:spacing w:before="200"/>
        <w:rPr>
          <w:rFonts w:ascii="Calibri" w:eastAsia="Times New Roman" w:hAnsi="Calibri" w:cs="Times New Roman"/>
        </w:rPr>
      </w:pPr>
      <w:r w:rsidRPr="008B30B7">
        <w:rPr>
          <w:rFonts w:ascii="Calibri" w:eastAsia="Times New Roman" w:hAnsi="Calibri" w:cs="Times New Roman"/>
        </w:rPr>
        <w:t xml:space="preserve">A third Pfizer </w:t>
      </w:r>
      <w:proofErr w:type="spellStart"/>
      <w:r w:rsidRPr="008B30B7">
        <w:rPr>
          <w:rFonts w:ascii="Calibri" w:eastAsia="Times New Roman" w:hAnsi="Calibri" w:cs="Times New Roman"/>
        </w:rPr>
        <w:t>BioNTech</w:t>
      </w:r>
      <w:proofErr w:type="spellEnd"/>
      <w:r w:rsidRPr="008B30B7">
        <w:rPr>
          <w:rFonts w:ascii="Calibri" w:eastAsia="Times New Roman" w:hAnsi="Calibri" w:cs="Times New Roman"/>
        </w:rPr>
        <w:t xml:space="preserve"> covid-19 vaccine dose—known as a booster dose—provides “significant increased protection” against symptomatic disease in those aged 50 and over, irrespective of which vaccine they initially received.</w:t>
      </w:r>
    </w:p>
    <w:p w:rsidR="008B30B7" w:rsidRPr="008B30B7" w:rsidRDefault="008B30B7" w:rsidP="008B30B7">
      <w:pPr>
        <w:spacing w:before="200"/>
        <w:rPr>
          <w:rFonts w:ascii="Calibri" w:eastAsia="Times New Roman" w:hAnsi="Calibri" w:cs="Times New Roman"/>
        </w:rPr>
      </w:pPr>
      <w:r w:rsidRPr="008B30B7">
        <w:rPr>
          <w:rFonts w:ascii="Calibri" w:eastAsia="Times New Roman" w:hAnsi="Calibri" w:cs="Times New Roman"/>
        </w:rPr>
        <w:t xml:space="preserve">A study by the UK Health Security Agency (UKHSA) found that at least 20 weeks after </w:t>
      </w:r>
      <w:proofErr w:type="gramStart"/>
      <w:r w:rsidRPr="008B30B7">
        <w:rPr>
          <w:rFonts w:ascii="Calibri" w:eastAsia="Times New Roman" w:hAnsi="Calibri" w:cs="Times New Roman"/>
        </w:rPr>
        <w:t>being fully vaccinated</w:t>
      </w:r>
      <w:proofErr w:type="gramEnd"/>
      <w:r w:rsidRPr="008B30B7">
        <w:rPr>
          <w:rFonts w:ascii="Calibri" w:eastAsia="Times New Roman" w:hAnsi="Calibri" w:cs="Times New Roman"/>
        </w:rPr>
        <w:t xml:space="preserve"> with two doses of the AstraZeneca vaccine effectiveness against symptomatic disease was 44.1%, while for Pfizer it was 62.5%.</w:t>
      </w:r>
    </w:p>
    <w:p w:rsidR="008B30B7" w:rsidRPr="008B30B7" w:rsidRDefault="008B30B7" w:rsidP="008B30B7">
      <w:pPr>
        <w:spacing w:before="200"/>
        <w:rPr>
          <w:rFonts w:ascii="Calibri" w:eastAsia="Times New Roman" w:hAnsi="Calibri" w:cs="Times New Roman"/>
        </w:rPr>
      </w:pPr>
      <w:proofErr w:type="gramStart"/>
      <w:r w:rsidRPr="008B30B7">
        <w:rPr>
          <w:rFonts w:ascii="Calibri" w:eastAsia="Times New Roman" w:hAnsi="Calibri" w:cs="Times New Roman"/>
        </w:rPr>
        <w:t>But</w:t>
      </w:r>
      <w:proofErr w:type="gramEnd"/>
      <w:r w:rsidRPr="008B30B7">
        <w:rPr>
          <w:rFonts w:ascii="Calibri" w:eastAsia="Times New Roman" w:hAnsi="Calibri" w:cs="Times New Roman"/>
        </w:rPr>
        <w:t xml:space="preserve"> two weeks after receiving the booster dose, protection against symptomatic infection increased to 93.1% in those who initially had two doses of the Oxford AstraZeneca vaccine, and 94.0% for those who had Pfizer.</w:t>
      </w:r>
    </w:p>
    <w:p w:rsidR="008B30B7" w:rsidRPr="008B30B7" w:rsidRDefault="008B30B7" w:rsidP="008B30B7">
      <w:pPr>
        <w:spacing w:before="200"/>
        <w:rPr>
          <w:rFonts w:ascii="Calibri" w:eastAsia="Times New Roman" w:hAnsi="Calibri" w:cs="Times New Roman"/>
        </w:rPr>
      </w:pPr>
      <w:r w:rsidRPr="008B30B7">
        <w:rPr>
          <w:rFonts w:ascii="Calibri" w:eastAsia="Times New Roman" w:hAnsi="Calibri" w:cs="Times New Roman"/>
        </w:rPr>
        <w:t xml:space="preserve">Further detail: </w:t>
      </w:r>
      <w:hyperlink r:id="rId19" w:history="1">
        <w:r w:rsidRPr="008B30B7">
          <w:rPr>
            <w:rFonts w:ascii="Calibri" w:eastAsia="Times New Roman" w:hAnsi="Calibri" w:cs="Times New Roman"/>
            <w:color w:val="0000FF" w:themeColor="hyperlink"/>
            <w:u w:val="single"/>
          </w:rPr>
          <w:t>Booster vaccine gives “significant increased protection” in over 50s</w:t>
        </w:r>
      </w:hyperlink>
    </w:p>
    <w:p w:rsidR="005D53D0" w:rsidRDefault="008B30B7" w:rsidP="008B30B7">
      <w:pPr>
        <w:spacing w:before="200"/>
        <w:rPr>
          <w:rFonts w:ascii="Calibri" w:eastAsia="Times New Roman" w:hAnsi="Calibri" w:cs="Times New Roman"/>
        </w:rPr>
      </w:pPr>
      <w:r w:rsidRPr="008B30B7">
        <w:rPr>
          <w:rFonts w:ascii="Calibri" w:eastAsia="Times New Roman" w:hAnsi="Calibri" w:cs="Times New Roman"/>
        </w:rPr>
        <w:t xml:space="preserve">Full research: </w:t>
      </w:r>
      <w:hyperlink r:id="rId20" w:history="1">
        <w:r w:rsidRPr="008B30B7">
          <w:rPr>
            <w:rFonts w:ascii="Calibri" w:eastAsia="Times New Roman" w:hAnsi="Calibri" w:cs="Times New Roman"/>
            <w:color w:val="0000FF" w:themeColor="hyperlink"/>
            <w:u w:val="single"/>
          </w:rPr>
          <w:t>Effectiveness of BNT162b2 (</w:t>
        </w:r>
        <w:proofErr w:type="spellStart"/>
        <w:r w:rsidRPr="008B30B7">
          <w:rPr>
            <w:rFonts w:ascii="Calibri" w:eastAsia="Times New Roman" w:hAnsi="Calibri" w:cs="Times New Roman"/>
            <w:color w:val="0000FF" w:themeColor="hyperlink"/>
            <w:u w:val="single"/>
          </w:rPr>
          <w:t>Comirnaty</w:t>
        </w:r>
        <w:proofErr w:type="spellEnd"/>
        <w:r w:rsidRPr="008B30B7">
          <w:rPr>
            <w:rFonts w:ascii="Calibri" w:eastAsia="Times New Roman" w:hAnsi="Calibri" w:cs="Times New Roman"/>
            <w:color w:val="0000FF" w:themeColor="hyperlink"/>
            <w:u w:val="single"/>
          </w:rPr>
          <w:t xml:space="preserve">, </w:t>
        </w:r>
        <w:proofErr w:type="spellStart"/>
        <w:r w:rsidRPr="008B30B7">
          <w:rPr>
            <w:rFonts w:ascii="Calibri" w:eastAsia="Times New Roman" w:hAnsi="Calibri" w:cs="Times New Roman"/>
            <w:color w:val="0000FF" w:themeColor="hyperlink"/>
            <w:u w:val="single"/>
          </w:rPr>
          <w:t>PfizerBioNTech</w:t>
        </w:r>
        <w:proofErr w:type="spellEnd"/>
        <w:r w:rsidRPr="008B30B7">
          <w:rPr>
            <w:rFonts w:ascii="Calibri" w:eastAsia="Times New Roman" w:hAnsi="Calibri" w:cs="Times New Roman"/>
            <w:color w:val="0000FF" w:themeColor="hyperlink"/>
            <w:u w:val="single"/>
          </w:rPr>
          <w:t>) COVID-19 booster vaccine against COVID-19 related symptoms in England: test negative case-control study</w:t>
        </w:r>
      </w:hyperlink>
      <w:r w:rsidR="005D53D0">
        <w:rPr>
          <w:rFonts w:ascii="Calibri" w:eastAsia="Times New Roman" w:hAnsi="Calibri" w:cs="Times New Roman"/>
        </w:rPr>
        <w:br/>
      </w:r>
    </w:p>
    <w:p w:rsidR="005D53D0" w:rsidRPr="005D53D0" w:rsidRDefault="005D53D0" w:rsidP="005D53D0">
      <w:pPr>
        <w:pBdr>
          <w:top w:val="single" w:sz="6" w:space="2" w:color="D4802C"/>
          <w:left w:val="single" w:sz="6" w:space="2" w:color="D4802C"/>
        </w:pBdr>
        <w:spacing w:before="300"/>
        <w:outlineLvl w:val="2"/>
        <w:rPr>
          <w:rFonts w:ascii="Calibri" w:eastAsia="Times New Roman" w:hAnsi="Calibri" w:cs="Times New Roman"/>
        </w:rPr>
      </w:pPr>
      <w:r w:rsidRPr="005D53D0">
        <w:rPr>
          <w:rFonts w:ascii="Calibri" w:eastAsia="Times New Roman" w:hAnsi="Calibri" w:cs="Times New Roman"/>
          <w:b/>
          <w:caps/>
          <w:spacing w:val="15"/>
        </w:rPr>
        <w:t>Title:</w:t>
      </w:r>
      <w:r w:rsidRPr="005D53D0">
        <w:rPr>
          <w:rFonts w:ascii="Calibri" w:eastAsia="Times New Roman" w:hAnsi="Calibri" w:cs="Times New Roman"/>
          <w:caps/>
          <w:spacing w:val="15"/>
        </w:rPr>
        <w:t xml:space="preserve"> COVID-19 booster vaccine programme for winter 2021 to 2022: JCVI statement, November 2021</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Department of Health and Social Care | 15</w:t>
      </w:r>
      <w:r w:rsidRPr="005D53D0">
        <w:rPr>
          <w:rFonts w:ascii="Calibri" w:eastAsia="Times New Roman" w:hAnsi="Calibri" w:cs="Times New Roman"/>
          <w:vertAlign w:val="superscript"/>
        </w:rPr>
        <w:t>th</w:t>
      </w:r>
      <w:r w:rsidRPr="005D53D0">
        <w:rPr>
          <w:rFonts w:ascii="Calibri" w:eastAsia="Times New Roman" w:hAnsi="Calibri" w:cs="Times New Roman"/>
        </w:rPr>
        <w:t xml:space="preserve"> November 2021</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Updated advice from the Joint Committee on Vaccination and Immunisation (JCVI) on the COVID-19 booster vaccine programme for winter 2021 to 2022. This statement sets out further advice from JCVI on extension of the booster programme to revaccinate adults aged 40 to 49 years against COVID-19.</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The main aim of this booster vaccination programme is to reduce deaths, serious disease and hospitalisations from COVID-19 over the 2021 to 2022 winter period and through 2022.</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Further detail: </w:t>
      </w:r>
      <w:hyperlink r:id="rId21" w:history="1">
        <w:r w:rsidRPr="005D53D0">
          <w:rPr>
            <w:rFonts w:ascii="Calibri" w:eastAsia="Times New Roman" w:hAnsi="Calibri" w:cs="Times New Roman"/>
            <w:color w:val="0000FF" w:themeColor="hyperlink"/>
            <w:u w:val="single"/>
          </w:rPr>
          <w:t>COVID-19 booster vaccine programme for winter 2021 to 2022: JCVI statement, November 2021</w:t>
        </w:r>
      </w:hyperlink>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See </w:t>
      </w:r>
      <w:proofErr w:type="gramStart"/>
      <w:r w:rsidRPr="005D53D0">
        <w:rPr>
          <w:rFonts w:ascii="Calibri" w:eastAsia="Times New Roman" w:hAnsi="Calibri" w:cs="Times New Roman"/>
        </w:rPr>
        <w:t>also:</w:t>
      </w:r>
      <w:proofErr w:type="gramEnd"/>
      <w:r w:rsidRPr="005D53D0">
        <w:rPr>
          <w:rFonts w:ascii="Calibri" w:eastAsia="Times New Roman" w:hAnsi="Calibri" w:cs="Times New Roman"/>
        </w:rPr>
        <w:t xml:space="preserve"> </w:t>
      </w:r>
      <w:hyperlink r:id="rId22" w:history="1">
        <w:r w:rsidRPr="005D53D0">
          <w:rPr>
            <w:rFonts w:ascii="Calibri" w:eastAsia="Times New Roman" w:hAnsi="Calibri" w:cs="Times New Roman"/>
            <w:color w:val="0000FF" w:themeColor="hyperlink"/>
            <w:u w:val="single"/>
          </w:rPr>
          <w:t>Government accepts JCVI advice on COVID-19 vaccination programme</w:t>
        </w:r>
      </w:hyperlink>
      <w:r w:rsidRPr="005D53D0">
        <w:rPr>
          <w:rFonts w:ascii="Calibri" w:eastAsia="Times New Roman" w:hAnsi="Calibri" w:cs="Times New Roman"/>
        </w:rPr>
        <w:t xml:space="preserve"> | Department of Health and Social Care</w:t>
      </w:r>
      <w:r w:rsidR="008B30B7">
        <w:rPr>
          <w:rFonts w:ascii="Calibri" w:eastAsia="Times New Roman" w:hAnsi="Calibri" w:cs="Times New Roman"/>
        </w:rPr>
        <w:br/>
      </w:r>
    </w:p>
    <w:p w:rsidR="005D53D0" w:rsidRPr="005D53D0" w:rsidRDefault="005D53D0" w:rsidP="005D53D0">
      <w:pPr>
        <w:pBdr>
          <w:top w:val="single" w:sz="6" w:space="2" w:color="D4802C"/>
          <w:left w:val="single" w:sz="6" w:space="2" w:color="D4802C"/>
        </w:pBdr>
        <w:spacing w:before="300"/>
        <w:outlineLvl w:val="2"/>
        <w:rPr>
          <w:rFonts w:ascii="Calibri" w:eastAsia="Times New Roman" w:hAnsi="Calibri" w:cs="Times New Roman"/>
        </w:rPr>
      </w:pPr>
      <w:r w:rsidRPr="005D53D0">
        <w:rPr>
          <w:rFonts w:ascii="Calibri" w:eastAsia="Times New Roman" w:hAnsi="Calibri" w:cs="Times New Roman"/>
          <w:b/>
          <w:caps/>
          <w:spacing w:val="15"/>
        </w:rPr>
        <w:t>Title:</w:t>
      </w:r>
      <w:r w:rsidRPr="005D53D0">
        <w:rPr>
          <w:rFonts w:ascii="Calibri" w:eastAsia="Times New Roman" w:hAnsi="Calibri" w:cs="Times New Roman"/>
          <w:caps/>
          <w:spacing w:val="15"/>
        </w:rPr>
        <w:t xml:space="preserve"> COVID-19 vaccination in children and young people aged 16 to 17 years: JCVI statement, November 2021</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Department of Health and Social Care | 15</w:t>
      </w:r>
      <w:r w:rsidRPr="005D53D0">
        <w:rPr>
          <w:rFonts w:ascii="Calibri" w:eastAsia="Times New Roman" w:hAnsi="Calibri" w:cs="Times New Roman"/>
          <w:vertAlign w:val="superscript"/>
        </w:rPr>
        <w:t>th</w:t>
      </w:r>
      <w:r w:rsidRPr="005D53D0">
        <w:rPr>
          <w:rFonts w:ascii="Calibri" w:eastAsia="Times New Roman" w:hAnsi="Calibri" w:cs="Times New Roman"/>
        </w:rPr>
        <w:t xml:space="preserve"> November 2021</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Advice from the Joint Committee on Vaccination and Immunisation (JCVI) on COVID-19 vaccination in children and young people aged 16 to 17 years. This statement sets out further advice on the offer of second doses of COVID-19 vaccine to children and young people aged 16 to 17 years.</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Further detail: </w:t>
      </w:r>
      <w:hyperlink r:id="rId23" w:history="1">
        <w:r w:rsidRPr="005D53D0">
          <w:rPr>
            <w:rFonts w:ascii="Calibri" w:eastAsia="Times New Roman" w:hAnsi="Calibri" w:cs="Times New Roman"/>
            <w:color w:val="0000FF" w:themeColor="hyperlink"/>
            <w:u w:val="single"/>
          </w:rPr>
          <w:t>COVID-19 vaccination in children and young people aged 16 to 17 years: JCVI statement, November 2021</w:t>
        </w:r>
      </w:hyperlink>
    </w:p>
    <w:p w:rsidR="005D53D0"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See </w:t>
      </w:r>
      <w:proofErr w:type="gramStart"/>
      <w:r w:rsidRPr="005D53D0">
        <w:rPr>
          <w:rFonts w:ascii="Calibri" w:eastAsia="Times New Roman" w:hAnsi="Calibri" w:cs="Times New Roman"/>
        </w:rPr>
        <w:t>also:</w:t>
      </w:r>
      <w:proofErr w:type="gramEnd"/>
      <w:r w:rsidRPr="005D53D0">
        <w:rPr>
          <w:rFonts w:ascii="Calibri" w:eastAsia="Times New Roman" w:hAnsi="Calibri" w:cs="Times New Roman"/>
        </w:rPr>
        <w:t xml:space="preserve"> </w:t>
      </w:r>
      <w:hyperlink r:id="rId24" w:history="1">
        <w:r w:rsidRPr="005D53D0">
          <w:rPr>
            <w:rFonts w:ascii="Calibri" w:eastAsia="Times New Roman" w:hAnsi="Calibri" w:cs="Times New Roman"/>
            <w:color w:val="0000FF" w:themeColor="hyperlink"/>
            <w:u w:val="single"/>
          </w:rPr>
          <w:t>Government accepts JCVI advice on COVID-19 vaccination programme</w:t>
        </w:r>
      </w:hyperlink>
      <w:r w:rsidRPr="005D53D0">
        <w:rPr>
          <w:rFonts w:ascii="Calibri" w:eastAsia="Times New Roman" w:hAnsi="Calibri" w:cs="Times New Roman"/>
        </w:rPr>
        <w:t xml:space="preserve"> | Department of Health and Social Care</w:t>
      </w:r>
      <w:r w:rsidR="00E876C0">
        <w:rPr>
          <w:rFonts w:ascii="Calibri" w:eastAsia="Times New Roman" w:hAnsi="Calibri" w:cs="Times New Roman"/>
        </w:rPr>
        <w:br/>
      </w:r>
    </w:p>
    <w:p w:rsidR="005D53D0" w:rsidRPr="005D53D0" w:rsidRDefault="005D53D0" w:rsidP="005D53D0">
      <w:pPr>
        <w:pBdr>
          <w:top w:val="single" w:sz="6" w:space="2" w:color="D4802C"/>
          <w:left w:val="single" w:sz="6" w:space="2" w:color="D4802C"/>
        </w:pBdr>
        <w:spacing w:before="300"/>
        <w:outlineLvl w:val="2"/>
        <w:rPr>
          <w:rFonts w:ascii="Calibri" w:eastAsia="Times New Roman" w:hAnsi="Calibri" w:cs="Times New Roman"/>
        </w:rPr>
      </w:pPr>
      <w:r w:rsidRPr="005D53D0">
        <w:rPr>
          <w:rFonts w:ascii="Calibri" w:eastAsia="Times New Roman" w:hAnsi="Calibri" w:cs="Times New Roman"/>
          <w:b/>
          <w:caps/>
          <w:spacing w:val="15"/>
        </w:rPr>
        <w:t>Title:</w:t>
      </w:r>
      <w:r w:rsidRPr="005D53D0">
        <w:rPr>
          <w:rFonts w:ascii="Calibri" w:eastAsia="Times New Roman" w:hAnsi="Calibri" w:cs="Times New Roman"/>
          <w:caps/>
          <w:spacing w:val="15"/>
        </w:rPr>
        <w:t xml:space="preserve"> Chart of the week: How many care home staff in England have received two Covid-19 vaccine doses?</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Nuffield Trust | 18</w:t>
      </w:r>
      <w:r w:rsidRPr="005D53D0">
        <w:rPr>
          <w:rFonts w:ascii="Calibri" w:eastAsia="Times New Roman" w:hAnsi="Calibri" w:cs="Times New Roman"/>
          <w:vertAlign w:val="superscript"/>
        </w:rPr>
        <w:t>th</w:t>
      </w:r>
      <w:r w:rsidRPr="005D53D0">
        <w:rPr>
          <w:rFonts w:ascii="Calibri" w:eastAsia="Times New Roman" w:hAnsi="Calibri" w:cs="Times New Roman"/>
        </w:rPr>
        <w:t xml:space="preserve"> November 2021</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After the deadline passed last week for staff to have received two doses of a Covid-19 vaccine as a condition of deployment in care homes in England, this week’s chart looks at how many had been vaccinated twice only a few weeks before the deadline.</w:t>
      </w:r>
    </w:p>
    <w:p w:rsidR="005D53D0" w:rsidRPr="005D53D0" w:rsidRDefault="005D53D0" w:rsidP="005D53D0">
      <w:pPr>
        <w:rPr>
          <w:rFonts w:ascii="Calibri" w:eastAsia="Times New Roman" w:hAnsi="Calibri" w:cs="Times New Roman"/>
        </w:rPr>
      </w:pPr>
      <w:r w:rsidRPr="005D53D0">
        <w:rPr>
          <w:rFonts w:ascii="Calibri" w:eastAsia="Times New Roman" w:hAnsi="Calibri" w:cs="Times New Roman"/>
        </w:rPr>
        <w:t>The government projected that between 3% and 13% of this workforce would not have received two doses by 11 November (including those with medical exemptions). The latest data suggests that, as of 26 October, around 11% (just under 63,000 staff) had not received a second dose.</w:t>
      </w:r>
    </w:p>
    <w:p w:rsidR="005D53D0" w:rsidRPr="00573B69"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Full detail: </w:t>
      </w:r>
      <w:hyperlink r:id="rId25" w:history="1">
        <w:r w:rsidRPr="005D53D0">
          <w:rPr>
            <w:rFonts w:ascii="Calibri" w:eastAsia="Times New Roman" w:hAnsi="Calibri" w:cs="Times New Roman"/>
            <w:color w:val="0000FF" w:themeColor="hyperlink"/>
            <w:u w:val="single"/>
          </w:rPr>
          <w:t>Chart of the week: How many care home staff in England have received two Covid-19 vaccine doses?</w:t>
        </w:r>
      </w:hyperlink>
      <w:r>
        <w:rPr>
          <w:rFonts w:ascii="Calibri" w:eastAsia="Times New Roman" w:hAnsi="Calibri" w:cs="Times New Roman"/>
        </w:rPr>
        <w:br/>
      </w:r>
    </w:p>
    <w:p w:rsidR="005D53D0" w:rsidRPr="005D53D0" w:rsidRDefault="005D53D0" w:rsidP="005D53D0">
      <w:pPr>
        <w:pBdr>
          <w:top w:val="single" w:sz="6" w:space="2" w:color="D4802C"/>
          <w:left w:val="single" w:sz="6" w:space="2" w:color="D4802C"/>
        </w:pBdr>
        <w:spacing w:before="300"/>
        <w:outlineLvl w:val="2"/>
        <w:rPr>
          <w:rFonts w:ascii="Calibri" w:eastAsia="Times New Roman" w:hAnsi="Calibri" w:cs="Times New Roman"/>
        </w:rPr>
      </w:pPr>
      <w:r w:rsidRPr="005D53D0">
        <w:rPr>
          <w:rFonts w:ascii="Calibri" w:eastAsia="Times New Roman" w:hAnsi="Calibri" w:cs="Times New Roman"/>
          <w:b/>
          <w:caps/>
          <w:spacing w:val="15"/>
        </w:rPr>
        <w:t>Title:</w:t>
      </w:r>
      <w:r w:rsidRPr="005D53D0">
        <w:rPr>
          <w:rFonts w:ascii="Calibri" w:eastAsia="Times New Roman" w:hAnsi="Calibri" w:cs="Times New Roman"/>
          <w:caps/>
          <w:spacing w:val="15"/>
        </w:rPr>
        <w:t xml:space="preserve"> Aspirin in patients admitted to hospital with COVID-19 (RECOVERY): a randomised, controlled, open-label, platform trial</w:t>
      </w:r>
    </w:p>
    <w:p w:rsidR="0018395B" w:rsidRDefault="0018395B" w:rsidP="005D53D0">
      <w:pPr>
        <w:spacing w:before="200"/>
        <w:rPr>
          <w:rFonts w:ascii="Calibri" w:eastAsia="Times New Roman" w:hAnsi="Calibri" w:cs="Times New Roman"/>
        </w:rPr>
      </w:pPr>
      <w:r>
        <w:rPr>
          <w:rFonts w:ascii="Calibri" w:eastAsia="Times New Roman" w:hAnsi="Calibri" w:cs="Times New Roman"/>
        </w:rPr>
        <w:t>The Lancet | 17</w:t>
      </w:r>
      <w:r w:rsidRPr="0018395B">
        <w:rPr>
          <w:rFonts w:ascii="Calibri" w:eastAsia="Times New Roman" w:hAnsi="Calibri" w:cs="Times New Roman"/>
          <w:vertAlign w:val="superscript"/>
        </w:rPr>
        <w:t>th</w:t>
      </w:r>
      <w:r>
        <w:rPr>
          <w:rFonts w:ascii="Calibri" w:eastAsia="Times New Roman" w:hAnsi="Calibri" w:cs="Times New Roman"/>
        </w:rPr>
        <w:t xml:space="preserve"> November 2021</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Aspirin has been proposed as a treatment for COVID-19 </w:t>
      </w:r>
      <w:proofErr w:type="gramStart"/>
      <w:r w:rsidRPr="005D53D0">
        <w:rPr>
          <w:rFonts w:ascii="Calibri" w:eastAsia="Times New Roman" w:hAnsi="Calibri" w:cs="Times New Roman"/>
        </w:rPr>
        <w:t>on the basis of</w:t>
      </w:r>
      <w:proofErr w:type="gramEnd"/>
      <w:r w:rsidRPr="005D53D0">
        <w:rPr>
          <w:rFonts w:ascii="Calibri" w:eastAsia="Times New Roman" w:hAnsi="Calibri" w:cs="Times New Roman"/>
        </w:rPr>
        <w:t xml:space="preserve"> its anti-thrombotic properties. The authors of this paper aimed to evaluate the efficacy and safety of aspirin in patients admitted to hospital with COVID-19.</w:t>
      </w:r>
    </w:p>
    <w:p w:rsidR="005D53D0" w:rsidRPr="005D53D0"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In this randomised, controlled, open-label, platform trial, several possible treatments </w:t>
      </w:r>
      <w:proofErr w:type="gramStart"/>
      <w:r w:rsidRPr="005D53D0">
        <w:rPr>
          <w:rFonts w:ascii="Calibri" w:eastAsia="Times New Roman" w:hAnsi="Calibri" w:cs="Times New Roman"/>
        </w:rPr>
        <w:t>were compared</w:t>
      </w:r>
      <w:proofErr w:type="gramEnd"/>
      <w:r w:rsidRPr="005D53D0">
        <w:rPr>
          <w:rFonts w:ascii="Calibri" w:eastAsia="Times New Roman" w:hAnsi="Calibri" w:cs="Times New Roman"/>
        </w:rPr>
        <w:t xml:space="preserve"> with usual care in patients hospitalised with COVID-19. In patients hospitalised with COVID-19, aspirin was not associated with reductions in </w:t>
      </w:r>
      <w:proofErr w:type="gramStart"/>
      <w:r w:rsidRPr="005D53D0">
        <w:rPr>
          <w:rFonts w:ascii="Calibri" w:eastAsia="Times New Roman" w:hAnsi="Calibri" w:cs="Times New Roman"/>
        </w:rPr>
        <w:t>28 day</w:t>
      </w:r>
      <w:proofErr w:type="gramEnd"/>
      <w:r w:rsidRPr="005D53D0">
        <w:rPr>
          <w:rFonts w:ascii="Calibri" w:eastAsia="Times New Roman" w:hAnsi="Calibri" w:cs="Times New Roman"/>
        </w:rPr>
        <w:t xml:space="preserve"> mortality or in the risk of progressing to invasive mechanical ventilation or death, but was associated with a small increase in the rate of being discharged alive within 28 days.</w:t>
      </w:r>
    </w:p>
    <w:p w:rsidR="007B0B34" w:rsidRDefault="005D53D0" w:rsidP="005D53D0">
      <w:pPr>
        <w:spacing w:before="200"/>
        <w:rPr>
          <w:rFonts w:ascii="Calibri" w:eastAsia="Times New Roman" w:hAnsi="Calibri" w:cs="Times New Roman"/>
        </w:rPr>
      </w:pPr>
      <w:r w:rsidRPr="005D53D0">
        <w:rPr>
          <w:rFonts w:ascii="Calibri" w:eastAsia="Times New Roman" w:hAnsi="Calibri" w:cs="Times New Roman"/>
        </w:rPr>
        <w:t xml:space="preserve">Full paper: </w:t>
      </w:r>
      <w:hyperlink r:id="rId26" w:history="1">
        <w:r w:rsidRPr="005D53D0">
          <w:rPr>
            <w:rFonts w:ascii="Calibri" w:eastAsia="Times New Roman" w:hAnsi="Calibri" w:cs="Times New Roman"/>
            <w:color w:val="0000FF" w:themeColor="hyperlink"/>
            <w:u w:val="single"/>
          </w:rPr>
          <w:t>Aspirin in patients admitted to hospital with COVID-19 (RECOVERY): a randomised, controlled, open-label, platform trial</w:t>
        </w:r>
      </w:hyperlink>
      <w:r w:rsidR="007B0B34">
        <w:rPr>
          <w:rFonts w:ascii="Calibri" w:eastAsia="Times New Roman" w:hAnsi="Calibri" w:cs="Times New Roman"/>
        </w:rPr>
        <w:br/>
      </w:r>
    </w:p>
    <w:p w:rsidR="007B0B34" w:rsidRPr="007B0B34" w:rsidRDefault="007B0B34" w:rsidP="007B0B34">
      <w:pPr>
        <w:pBdr>
          <w:top w:val="single" w:sz="6" w:space="2" w:color="D4802C"/>
          <w:left w:val="single" w:sz="6" w:space="2" w:color="D4802C"/>
        </w:pBdr>
        <w:spacing w:before="300"/>
        <w:outlineLvl w:val="2"/>
        <w:rPr>
          <w:rFonts w:ascii="Calibri" w:eastAsia="Times New Roman" w:hAnsi="Calibri" w:cs="Times New Roman"/>
        </w:rPr>
      </w:pPr>
      <w:r w:rsidRPr="007B0B34">
        <w:rPr>
          <w:rFonts w:ascii="Calibri" w:eastAsia="Times New Roman" w:hAnsi="Calibri" w:cs="Times New Roman"/>
          <w:b/>
          <w:caps/>
          <w:spacing w:val="15"/>
        </w:rPr>
        <w:t>Title:</w:t>
      </w:r>
      <w:r w:rsidRPr="007B0B34">
        <w:rPr>
          <w:rFonts w:ascii="Calibri" w:eastAsia="Times New Roman" w:hAnsi="Calibri" w:cs="Times New Roman"/>
          <w:caps/>
          <w:spacing w:val="15"/>
        </w:rPr>
        <w:t xml:space="preserve"> Vaccination against COVID-19 and society’s return to normality in England: a modelling study of impacts of different types of naturally acquired and vaccine-induced immunity</w:t>
      </w:r>
    </w:p>
    <w:p w:rsidR="007B0B34" w:rsidRPr="007B0B34" w:rsidRDefault="007B0B34" w:rsidP="007B0B34">
      <w:pPr>
        <w:spacing w:before="200"/>
        <w:rPr>
          <w:rFonts w:ascii="Calibri" w:eastAsia="Times New Roman" w:hAnsi="Calibri" w:cs="Times New Roman"/>
        </w:rPr>
      </w:pPr>
      <w:r w:rsidRPr="007B0B34">
        <w:rPr>
          <w:rFonts w:ascii="Calibri" w:eastAsia="Times New Roman" w:hAnsi="Calibri" w:cs="Times New Roman"/>
        </w:rPr>
        <w:t>BMJ Open | 16</w:t>
      </w:r>
      <w:r w:rsidRPr="007B0B34">
        <w:rPr>
          <w:rFonts w:ascii="Calibri" w:eastAsia="Times New Roman" w:hAnsi="Calibri" w:cs="Times New Roman"/>
          <w:vertAlign w:val="superscript"/>
        </w:rPr>
        <w:t>th</w:t>
      </w:r>
      <w:r w:rsidRPr="007B0B34">
        <w:rPr>
          <w:rFonts w:ascii="Calibri" w:eastAsia="Times New Roman" w:hAnsi="Calibri" w:cs="Times New Roman"/>
        </w:rPr>
        <w:t xml:space="preserve"> November 2021</w:t>
      </w:r>
    </w:p>
    <w:p w:rsidR="007B0B34" w:rsidRPr="007B0B34" w:rsidRDefault="007B0B34" w:rsidP="007B0B34">
      <w:pPr>
        <w:rPr>
          <w:rFonts w:ascii="Calibri" w:eastAsia="Times New Roman" w:hAnsi="Calibri" w:cs="Times New Roman"/>
        </w:rPr>
      </w:pPr>
      <w:proofErr w:type="gramStart"/>
      <w:r w:rsidRPr="007B0B34">
        <w:rPr>
          <w:rFonts w:ascii="Calibri" w:eastAsia="Times New Roman" w:hAnsi="Calibri" w:cs="Times New Roman"/>
        </w:rPr>
        <w:t>The objectives of this study were to project impacts of mass vaccination against COVID-19, and investigate possible impacts of different types of naturally acquired and vaccine-induced immunity on future dynamics of SARS-CoV-2 transmission from 2021 to 2024 in England.</w:t>
      </w:r>
      <w:proofErr w:type="gramEnd"/>
    </w:p>
    <w:p w:rsidR="007B0B34" w:rsidRPr="007B0B34" w:rsidRDefault="007B0B34" w:rsidP="007B0B34">
      <w:pPr>
        <w:rPr>
          <w:rFonts w:ascii="Calibri" w:eastAsia="Times New Roman" w:hAnsi="Calibri" w:cs="Times New Roman"/>
        </w:rPr>
      </w:pPr>
      <w:r w:rsidRPr="007B0B34">
        <w:rPr>
          <w:rFonts w:ascii="Calibri" w:eastAsia="Times New Roman" w:hAnsi="Calibri" w:cs="Times New Roman"/>
        </w:rPr>
        <w:t xml:space="preserve">The authors conclude that under optimistic scenarios, mass immunisation using efficacious vaccines may enable society safely to return to normality. However, under plausible scenarios with low vaccine efficacy and short durability of immunity, COVID-19 could continue to cause recurrent waves of severe morbidity and mortality despite frequent vaccinations. It is crucial to monitor the vaccination effects in the real world, and </w:t>
      </w:r>
      <w:proofErr w:type="gramStart"/>
      <w:r w:rsidRPr="007B0B34">
        <w:rPr>
          <w:rFonts w:ascii="Calibri" w:eastAsia="Times New Roman" w:hAnsi="Calibri" w:cs="Times New Roman"/>
        </w:rPr>
        <w:t>to better understand</w:t>
      </w:r>
      <w:proofErr w:type="gramEnd"/>
      <w:r w:rsidRPr="007B0B34">
        <w:rPr>
          <w:rFonts w:ascii="Calibri" w:eastAsia="Times New Roman" w:hAnsi="Calibri" w:cs="Times New Roman"/>
        </w:rPr>
        <w:t xml:space="preserve"> characteristics of naturally acquired and vaccine-induced immunity against SARS-CoV-2.</w:t>
      </w:r>
    </w:p>
    <w:p w:rsidR="009C1A4F" w:rsidRDefault="007B0B34" w:rsidP="005D53D0">
      <w:pPr>
        <w:spacing w:before="200"/>
        <w:rPr>
          <w:rFonts w:ascii="Calibri" w:eastAsia="Times New Roman" w:hAnsi="Calibri" w:cs="Times New Roman"/>
        </w:rPr>
      </w:pPr>
      <w:r w:rsidRPr="007B0B34">
        <w:rPr>
          <w:rFonts w:ascii="Calibri" w:eastAsia="Times New Roman" w:hAnsi="Calibri" w:cs="Times New Roman"/>
        </w:rPr>
        <w:t xml:space="preserve">Full paper: </w:t>
      </w:r>
      <w:hyperlink r:id="rId27" w:history="1">
        <w:r w:rsidRPr="007B0B34">
          <w:rPr>
            <w:rFonts w:ascii="Calibri" w:eastAsia="Times New Roman" w:hAnsi="Calibri" w:cs="Times New Roman"/>
            <w:color w:val="0000FF" w:themeColor="hyperlink"/>
            <w:u w:val="single"/>
          </w:rPr>
          <w:t>Vaccination against COVID-19 and society’s return to normality in England: a modelling study of impacts of different types of naturally acquired and vaccine-induced immunity</w:t>
        </w:r>
      </w:hyperlink>
      <w:r w:rsidR="009C1A4F">
        <w:rPr>
          <w:rFonts w:ascii="Calibri" w:eastAsia="Times New Roman" w:hAnsi="Calibri" w:cs="Times New Roman"/>
        </w:rPr>
        <w:br/>
      </w:r>
    </w:p>
    <w:p w:rsidR="009C1A4F" w:rsidRDefault="009C1A4F" w:rsidP="009C1A4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77C25">
        <w:rPr>
          <w:rFonts w:eastAsiaTheme="minorEastAsia"/>
          <w:caps/>
          <w:spacing w:val="15"/>
        </w:rPr>
        <w:t>Provider collaboration review: Mental health care of children and young people during the COVID-19 pandemic</w:t>
      </w:r>
    </w:p>
    <w:p w:rsidR="009C1A4F" w:rsidRDefault="009C1A4F" w:rsidP="009C1A4F">
      <w:pPr>
        <w:spacing w:before="200"/>
        <w:rPr>
          <w:rFonts w:eastAsiaTheme="minorEastAsia"/>
        </w:rPr>
      </w:pPr>
      <w:r>
        <w:rPr>
          <w:rFonts w:eastAsiaTheme="minorEastAsia"/>
        </w:rPr>
        <w:t>Care Quality Commission | 17</w:t>
      </w:r>
      <w:r w:rsidRPr="00E77C25">
        <w:rPr>
          <w:rFonts w:eastAsiaTheme="minorEastAsia"/>
          <w:vertAlign w:val="superscript"/>
        </w:rPr>
        <w:t>th</w:t>
      </w:r>
      <w:r>
        <w:rPr>
          <w:rFonts w:eastAsiaTheme="minorEastAsia"/>
        </w:rPr>
        <w:t xml:space="preserve"> November 2021</w:t>
      </w:r>
    </w:p>
    <w:p w:rsidR="009C1A4F" w:rsidRPr="00E77C25" w:rsidRDefault="009C1A4F" w:rsidP="009C1A4F">
      <w:pPr>
        <w:rPr>
          <w:rFonts w:eastAsiaTheme="minorEastAsia"/>
        </w:rPr>
      </w:pPr>
      <w:r w:rsidRPr="00E77C25">
        <w:rPr>
          <w:rFonts w:eastAsiaTheme="minorEastAsia"/>
        </w:rPr>
        <w:t xml:space="preserve">This report looks at mental health care of children and young people in </w:t>
      </w:r>
      <w:proofErr w:type="gramStart"/>
      <w:r w:rsidRPr="00E77C25">
        <w:rPr>
          <w:rFonts w:eastAsiaTheme="minorEastAsia"/>
        </w:rPr>
        <w:t>7</w:t>
      </w:r>
      <w:proofErr w:type="gramEnd"/>
      <w:r w:rsidRPr="00E77C25">
        <w:rPr>
          <w:rFonts w:eastAsiaTheme="minorEastAsia"/>
        </w:rPr>
        <w:t xml:space="preserve"> areas of England in June and July 2021.</w:t>
      </w:r>
    </w:p>
    <w:p w:rsidR="009C1A4F" w:rsidRPr="00994E70" w:rsidRDefault="009C1A4F" w:rsidP="009C1A4F">
      <w:pPr>
        <w:spacing w:before="200"/>
        <w:rPr>
          <w:rFonts w:eastAsiaTheme="minorEastAsia"/>
        </w:rPr>
      </w:pPr>
      <w:r w:rsidRPr="00994E70">
        <w:rPr>
          <w:rFonts w:eastAsiaTheme="minorEastAsia"/>
        </w:rPr>
        <w:t>Key findings</w:t>
      </w:r>
    </w:p>
    <w:p w:rsidR="009C1A4F" w:rsidRPr="00994E70" w:rsidRDefault="009C1A4F" w:rsidP="008B30B7">
      <w:pPr>
        <w:numPr>
          <w:ilvl w:val="0"/>
          <w:numId w:val="4"/>
        </w:numPr>
        <w:spacing w:before="200"/>
        <w:rPr>
          <w:rFonts w:eastAsiaTheme="minorEastAsia"/>
        </w:rPr>
      </w:pPr>
      <w:r w:rsidRPr="00994E70">
        <w:rPr>
          <w:rFonts w:eastAsiaTheme="minorEastAsia"/>
        </w:rPr>
        <w:t>The COVID-19 pandemic has had an enormous impact on the mental health of children and young people, and has led to an increased demand on services, particularly eating disorder services.</w:t>
      </w:r>
    </w:p>
    <w:p w:rsidR="009C1A4F" w:rsidRPr="00994E70" w:rsidRDefault="009C1A4F" w:rsidP="008B30B7">
      <w:pPr>
        <w:numPr>
          <w:ilvl w:val="0"/>
          <w:numId w:val="4"/>
        </w:numPr>
        <w:spacing w:before="200"/>
        <w:rPr>
          <w:rFonts w:eastAsiaTheme="minorEastAsia"/>
        </w:rPr>
      </w:pPr>
      <w:r w:rsidRPr="00994E70">
        <w:rPr>
          <w:rFonts w:eastAsiaTheme="minorEastAsia"/>
        </w:rPr>
        <w:t xml:space="preserve">While leaders responded quickly to try </w:t>
      </w:r>
      <w:proofErr w:type="gramStart"/>
      <w:r w:rsidRPr="00994E70">
        <w:rPr>
          <w:rFonts w:eastAsiaTheme="minorEastAsia"/>
        </w:rPr>
        <w:t>and</w:t>
      </w:r>
      <w:proofErr w:type="gramEnd"/>
      <w:r w:rsidRPr="00994E70">
        <w:rPr>
          <w:rFonts w:eastAsiaTheme="minorEastAsia"/>
        </w:rPr>
        <w:t xml:space="preserve"> ensure that there were enough staff with the right skills in the right places, services have also struggled to meet demand. Not only did this increase the risk of children and young people’s symptoms worsening and reaching crisis point, it also led to them being cared for in unsuitable environments.</w:t>
      </w:r>
    </w:p>
    <w:p w:rsidR="009C1A4F" w:rsidRPr="00994E70" w:rsidRDefault="009C1A4F" w:rsidP="008B30B7">
      <w:pPr>
        <w:numPr>
          <w:ilvl w:val="0"/>
          <w:numId w:val="4"/>
        </w:numPr>
        <w:spacing w:before="200"/>
        <w:rPr>
          <w:rFonts w:eastAsiaTheme="minorEastAsia"/>
        </w:rPr>
      </w:pPr>
      <w:r w:rsidRPr="00994E70">
        <w:rPr>
          <w:rFonts w:eastAsiaTheme="minorEastAsia"/>
        </w:rPr>
        <w:t>Across all areas, we have seen positive examples of systems working collaboratively together to ensure continued access to mental health support. However, there were some concerns around silo working.</w:t>
      </w:r>
    </w:p>
    <w:p w:rsidR="009C1A4F" w:rsidRPr="00994E70" w:rsidRDefault="009C1A4F" w:rsidP="008B30B7">
      <w:pPr>
        <w:numPr>
          <w:ilvl w:val="0"/>
          <w:numId w:val="4"/>
        </w:numPr>
        <w:spacing w:before="200"/>
        <w:rPr>
          <w:rFonts w:eastAsiaTheme="minorEastAsia"/>
        </w:rPr>
      </w:pPr>
      <w:r w:rsidRPr="00994E70">
        <w:rPr>
          <w:rFonts w:eastAsiaTheme="minorEastAsia"/>
        </w:rPr>
        <w:t xml:space="preserve">Communication, both between services and with families, </w:t>
      </w:r>
      <w:proofErr w:type="gramStart"/>
      <w:r w:rsidRPr="00994E70">
        <w:rPr>
          <w:rFonts w:eastAsiaTheme="minorEastAsia"/>
        </w:rPr>
        <w:t>was mixed</w:t>
      </w:r>
      <w:proofErr w:type="gramEnd"/>
      <w:r w:rsidRPr="00994E70">
        <w:rPr>
          <w:rFonts w:eastAsiaTheme="minorEastAsia"/>
        </w:rPr>
        <w:t>, with some people not always aware of what support was available.</w:t>
      </w:r>
    </w:p>
    <w:p w:rsidR="009C1A4F" w:rsidRPr="00994E70" w:rsidRDefault="009C1A4F" w:rsidP="008B30B7">
      <w:pPr>
        <w:numPr>
          <w:ilvl w:val="0"/>
          <w:numId w:val="4"/>
        </w:numPr>
        <w:spacing w:before="200"/>
        <w:rPr>
          <w:rFonts w:eastAsiaTheme="minorEastAsia"/>
        </w:rPr>
      </w:pPr>
      <w:r w:rsidRPr="00994E70">
        <w:rPr>
          <w:rFonts w:eastAsiaTheme="minorEastAsia"/>
        </w:rPr>
        <w:t xml:space="preserve">The pandemic has also shone a light on, and exacerbated, health inequalities faced by some children and young people, in particular those people living in deprived areas. While some areas were taking steps to tackle this, more needs to </w:t>
      </w:r>
      <w:proofErr w:type="gramStart"/>
      <w:r w:rsidRPr="00994E70">
        <w:rPr>
          <w:rFonts w:eastAsiaTheme="minorEastAsia"/>
        </w:rPr>
        <w:t>be done</w:t>
      </w:r>
      <w:proofErr w:type="gramEnd"/>
      <w:r w:rsidRPr="00994E70">
        <w:rPr>
          <w:rFonts w:eastAsiaTheme="minorEastAsia"/>
        </w:rPr>
        <w:t>.</w:t>
      </w:r>
    </w:p>
    <w:p w:rsidR="009C1A4F" w:rsidRPr="00994E70" w:rsidRDefault="009C1A4F" w:rsidP="008B30B7">
      <w:pPr>
        <w:numPr>
          <w:ilvl w:val="0"/>
          <w:numId w:val="4"/>
        </w:numPr>
        <w:spacing w:before="200"/>
        <w:rPr>
          <w:rFonts w:eastAsiaTheme="minorEastAsia"/>
        </w:rPr>
      </w:pPr>
      <w:r w:rsidRPr="00994E70">
        <w:rPr>
          <w:rFonts w:eastAsiaTheme="minorEastAsia"/>
        </w:rPr>
        <w:t xml:space="preserve">Digital technology enabled services to adapt almost overnight, ensuring continuation of care and, in some cases, increasing support for children and young people in comparison to pre-pandemic levels. </w:t>
      </w:r>
      <w:proofErr w:type="gramStart"/>
      <w:r w:rsidRPr="00994E70">
        <w:rPr>
          <w:rFonts w:eastAsiaTheme="minorEastAsia"/>
        </w:rPr>
        <w:t>But</w:t>
      </w:r>
      <w:proofErr w:type="gramEnd"/>
      <w:r w:rsidRPr="00994E70">
        <w:rPr>
          <w:rFonts w:eastAsiaTheme="minorEastAsia"/>
        </w:rPr>
        <w:t xml:space="preserve"> alongside this we heard about the associated risks to children and young people’s safety, for example staff missing cues or issues that would have been picked up face-to-face, as well as unseen risks within the home environment.</w:t>
      </w:r>
    </w:p>
    <w:p w:rsidR="005D53D0" w:rsidRPr="005D53D0" w:rsidRDefault="009C1A4F" w:rsidP="009C1A4F">
      <w:pPr>
        <w:spacing w:before="200"/>
        <w:rPr>
          <w:rFonts w:ascii="Calibri" w:eastAsia="Times New Roman" w:hAnsi="Calibri" w:cs="Times New Roman"/>
        </w:rPr>
      </w:pPr>
      <w:r>
        <w:rPr>
          <w:rFonts w:eastAsiaTheme="minorEastAsia"/>
        </w:rPr>
        <w:t xml:space="preserve">Full detail: </w:t>
      </w:r>
      <w:hyperlink r:id="rId28" w:anchor="contents" w:history="1">
        <w:r w:rsidRPr="00E77C25">
          <w:rPr>
            <w:rStyle w:val="Hyperlink"/>
            <w:rFonts w:eastAsiaTheme="minorEastAsia"/>
          </w:rPr>
          <w:t>Provider collaboration review: Mental health care of children and young people during the COVID-19 pandemic</w:t>
        </w:r>
      </w:hyperlink>
      <w:r w:rsidR="0018395B">
        <w:rPr>
          <w:rFonts w:ascii="Calibri" w:eastAsia="Times New Roman" w:hAnsi="Calibri" w:cs="Times New Roman"/>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E4938" w:rsidRPr="006E4938">
        <w:rPr>
          <w:rFonts w:eastAsiaTheme="minorEastAsia"/>
          <w:caps/>
          <w:spacing w:val="15"/>
        </w:rPr>
        <w:t>REACT-1 study of coronavirus transmission: October 2021, final results</w:t>
      </w:r>
    </w:p>
    <w:p w:rsidR="00106DF8" w:rsidRDefault="006E4938" w:rsidP="00106DF8">
      <w:pPr>
        <w:spacing w:before="200"/>
        <w:rPr>
          <w:rFonts w:eastAsiaTheme="minorEastAsia"/>
        </w:rPr>
      </w:pPr>
      <w:r w:rsidRPr="006E4938">
        <w:rPr>
          <w:rFonts w:eastAsiaTheme="minorEastAsia"/>
        </w:rPr>
        <w:t>UK Health Security Agency</w:t>
      </w:r>
      <w:r>
        <w:rPr>
          <w:rFonts w:eastAsiaTheme="minorEastAsia"/>
        </w:rPr>
        <w:t xml:space="preserve"> | </w:t>
      </w:r>
      <w:r w:rsidRPr="006E4938">
        <w:rPr>
          <w:rFonts w:eastAsiaTheme="minorEastAsia"/>
        </w:rPr>
        <w:t>Imperial College London</w:t>
      </w:r>
      <w:r>
        <w:rPr>
          <w:rFonts w:eastAsiaTheme="minorEastAsia"/>
        </w:rPr>
        <w:t xml:space="preserve"> | 18</w:t>
      </w:r>
      <w:r w:rsidRPr="006E4938">
        <w:rPr>
          <w:rFonts w:eastAsiaTheme="minorEastAsia"/>
          <w:vertAlign w:val="superscript"/>
        </w:rPr>
        <w:t>th</w:t>
      </w:r>
      <w:r>
        <w:rPr>
          <w:rFonts w:eastAsiaTheme="minorEastAsia"/>
        </w:rPr>
        <w:t xml:space="preserve"> November 2021</w:t>
      </w:r>
    </w:p>
    <w:p w:rsidR="006E4938" w:rsidRPr="006E4938" w:rsidRDefault="006E4938" w:rsidP="006E4938">
      <w:pPr>
        <w:spacing w:before="200"/>
        <w:rPr>
          <w:rFonts w:eastAsiaTheme="minorEastAsia"/>
          <w:bCs/>
        </w:rPr>
      </w:pPr>
      <w:r w:rsidRPr="006E4938">
        <w:rPr>
          <w:rFonts w:eastAsiaTheme="minorEastAsia"/>
          <w:bCs/>
        </w:rPr>
        <w:t>New data from the REACT study show that infections have been falling but are still very high, and are now at a similar rate to January this year.</w:t>
      </w:r>
    </w:p>
    <w:p w:rsidR="006E4938" w:rsidRPr="006E4938" w:rsidRDefault="006E4938" w:rsidP="006E4938">
      <w:pPr>
        <w:spacing w:before="200"/>
        <w:rPr>
          <w:rFonts w:eastAsiaTheme="minorEastAsia"/>
        </w:rPr>
      </w:pPr>
      <w:r w:rsidRPr="006E4938">
        <w:rPr>
          <w:rFonts w:eastAsiaTheme="minorEastAsia"/>
        </w:rPr>
        <w:t>Results from swab tests taken at home by over 100,000 people in England between 19 October and 5 November showed that 1.57% of people were infected, or 1 in 64. This is slightly lower than the study’s recent interim data, when 1.72% were infected as of 29th October, but almost twice as high as data from September.</w:t>
      </w:r>
    </w:p>
    <w:p w:rsidR="006E4938" w:rsidRPr="006E4938" w:rsidRDefault="006E4938" w:rsidP="006E4938">
      <w:pPr>
        <w:spacing w:before="200"/>
        <w:rPr>
          <w:rFonts w:eastAsiaTheme="minorEastAsia"/>
        </w:rPr>
      </w:pPr>
      <w:r w:rsidRPr="006E4938">
        <w:rPr>
          <w:rFonts w:eastAsiaTheme="minorEastAsia"/>
        </w:rPr>
        <w:t xml:space="preserve">School-aged children had the highest infection prevalence at 5.21% for 13-17-year-olds, and 4.95% for those aged 5-12, or around 1 in 20. </w:t>
      </w:r>
      <w:proofErr w:type="gramStart"/>
      <w:r w:rsidRPr="006E4938">
        <w:rPr>
          <w:rFonts w:eastAsiaTheme="minorEastAsia"/>
        </w:rPr>
        <w:t>However</w:t>
      </w:r>
      <w:proofErr w:type="gramEnd"/>
      <w:r w:rsidRPr="006E4938">
        <w:rPr>
          <w:rFonts w:eastAsiaTheme="minorEastAsia"/>
        </w:rPr>
        <w:t xml:space="preserve"> the study, led by Imperial College London with </w:t>
      </w:r>
      <w:proofErr w:type="spellStart"/>
      <w:r w:rsidRPr="006E4938">
        <w:rPr>
          <w:rFonts w:eastAsiaTheme="minorEastAsia"/>
        </w:rPr>
        <w:t>Ipsos</w:t>
      </w:r>
      <w:proofErr w:type="spellEnd"/>
      <w:r w:rsidRPr="006E4938">
        <w:rPr>
          <w:rFonts w:eastAsiaTheme="minorEastAsia"/>
        </w:rPr>
        <w:t xml:space="preserve"> MORI, also found that vaccination was helping to reduce virus spread among children. Those aged 12-17 who had received a single Pfizer/</w:t>
      </w:r>
      <w:proofErr w:type="spellStart"/>
      <w:r w:rsidRPr="006E4938">
        <w:rPr>
          <w:rFonts w:eastAsiaTheme="minorEastAsia"/>
        </w:rPr>
        <w:t>BioNTech</w:t>
      </w:r>
      <w:proofErr w:type="spellEnd"/>
      <w:r w:rsidRPr="006E4938">
        <w:rPr>
          <w:rFonts w:eastAsiaTheme="minorEastAsia"/>
        </w:rPr>
        <w:t xml:space="preserve"> dose had around a 56% lower risk of infection compared to unvaccinated children. The risk was even lower for symptomatic infection, at around 68%.</w:t>
      </w:r>
    </w:p>
    <w:p w:rsidR="006E4938" w:rsidRDefault="006E4938" w:rsidP="00106DF8">
      <w:pPr>
        <w:spacing w:before="200"/>
        <w:rPr>
          <w:rFonts w:eastAsiaTheme="minorEastAsia"/>
        </w:rPr>
      </w:pPr>
      <w:r w:rsidRPr="006E4938">
        <w:rPr>
          <w:rFonts w:eastAsiaTheme="minorEastAsia"/>
        </w:rPr>
        <w:t>The study also looked at the effectiveness of booster doses at preventing infection, finding that the risk of infection was around three times lower in those who had received a third dose, compared to those who had received two. For those who were aged 50 and above, having a third dose reduced the infection risk by around half compared to two doses.</w:t>
      </w:r>
    </w:p>
    <w:p w:rsidR="006E4938" w:rsidRDefault="006E4938" w:rsidP="00106DF8">
      <w:pPr>
        <w:spacing w:before="200"/>
        <w:rPr>
          <w:rFonts w:eastAsiaTheme="minorEastAsia"/>
        </w:rPr>
      </w:pPr>
      <w:r>
        <w:rPr>
          <w:rFonts w:eastAsiaTheme="minorEastAsia"/>
        </w:rPr>
        <w:t xml:space="preserve">Further detail: </w:t>
      </w:r>
      <w:hyperlink r:id="rId29" w:history="1">
        <w:r w:rsidRPr="006E4938">
          <w:rPr>
            <w:rStyle w:val="Hyperlink"/>
            <w:rFonts w:eastAsiaTheme="minorEastAsia"/>
          </w:rPr>
          <w:t>REACT-1 study of coronavirus transmission: October 2021, final results</w:t>
        </w:r>
      </w:hyperlink>
    </w:p>
    <w:p w:rsidR="006E4938" w:rsidRDefault="006E4938" w:rsidP="00106DF8">
      <w:pPr>
        <w:spacing w:before="200"/>
        <w:rPr>
          <w:rFonts w:eastAsiaTheme="minorEastAsia"/>
        </w:rPr>
      </w:pPr>
      <w:r w:rsidRPr="006E4938">
        <w:rPr>
          <w:rFonts w:eastAsiaTheme="minorEastAsia"/>
        </w:rPr>
        <w:t>Pre-print report</w:t>
      </w:r>
      <w:r>
        <w:rPr>
          <w:rFonts w:eastAsiaTheme="minorEastAsia"/>
        </w:rPr>
        <w:t xml:space="preserve">: </w:t>
      </w:r>
      <w:hyperlink r:id="rId30" w:history="1">
        <w:r w:rsidRPr="006E4938">
          <w:rPr>
            <w:rStyle w:val="Hyperlink"/>
            <w:rFonts w:eastAsiaTheme="minorEastAsia"/>
          </w:rPr>
          <w:t>REACT-1 round 15 final report: Increased breakthrough SARS-CoV-2 infections among adults who had received two doses of vaccine, but booster doses and first doses in children are providing important protection</w:t>
        </w:r>
      </w:hyperlink>
    </w:p>
    <w:p w:rsidR="006E4938" w:rsidRDefault="006E4938" w:rsidP="00106DF8">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31" w:history="1">
        <w:r w:rsidRPr="006E4938">
          <w:rPr>
            <w:rStyle w:val="Hyperlink"/>
            <w:rFonts w:eastAsiaTheme="minorEastAsia"/>
          </w:rPr>
          <w:t>COVID-19 vaccination cuts infection risk by half in school-aged children – REACT | Imperial College London</w:t>
        </w:r>
      </w:hyperlink>
      <w:r>
        <w:rPr>
          <w:rFonts w:eastAsiaTheme="minorEastAsia"/>
        </w:rPr>
        <w:br/>
      </w:r>
    </w:p>
    <w:p w:rsidR="00106DF8" w:rsidRPr="00627D72" w:rsidRDefault="008B30B7" w:rsidP="00627D72">
      <w:pPr>
        <w:spacing w:before="200"/>
        <w:rPr>
          <w:rFonts w:eastAsiaTheme="minorEastAsia"/>
          <w:sz w:val="20"/>
          <w:szCs w:val="20"/>
        </w:rPr>
      </w:pPr>
      <w:r>
        <w:rPr>
          <w:rFonts w:eastAsiaTheme="minorEastAsia"/>
          <w:sz w:val="20"/>
          <w:szCs w:val="20"/>
        </w:rPr>
        <w:br/>
      </w:r>
      <w:bookmarkStart w:id="0" w:name="_GoBack"/>
      <w:bookmarkEnd w:id="0"/>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57787" w:rsidP="00370427">
                            <w:pPr>
                              <w:jc w:val="center"/>
                              <w:rPr>
                                <w:rFonts w:ascii="Calibri" w:eastAsia="Calibri" w:hAnsi="Calibri" w:cs="Times New Roman"/>
                              </w:rPr>
                            </w:pPr>
                            <w:hyperlink r:id="rId3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57787" w:rsidP="00370427">
                            <w:pPr>
                              <w:jc w:val="center"/>
                              <w:rPr>
                                <w:rFonts w:ascii="Calibri" w:eastAsia="Calibri" w:hAnsi="Calibri" w:cs="Times New Roman"/>
                                <w:color w:val="339966"/>
                              </w:rPr>
                            </w:pPr>
                            <w:hyperlink r:id="rId3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57787"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57787"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4"/>
      <w:footerReference w:type="default" r:id="rId4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57787">
          <w:rPr>
            <w:noProof/>
          </w:rPr>
          <w:t>8</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2609"/>
    <w:multiLevelType w:val="multilevel"/>
    <w:tmpl w:val="CAB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77ACB"/>
    <w:multiLevelType w:val="multilevel"/>
    <w:tmpl w:val="17823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735117"/>
    <w:multiLevelType w:val="hybridMultilevel"/>
    <w:tmpl w:val="6A60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D3298"/>
    <w:multiLevelType w:val="multilevel"/>
    <w:tmpl w:val="572C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57787"/>
    <w:rsid w:val="00065A47"/>
    <w:rsid w:val="00070262"/>
    <w:rsid w:val="000749B7"/>
    <w:rsid w:val="00075E06"/>
    <w:rsid w:val="00077250"/>
    <w:rsid w:val="00081B0B"/>
    <w:rsid w:val="000A2968"/>
    <w:rsid w:val="000A5857"/>
    <w:rsid w:val="000B145B"/>
    <w:rsid w:val="000C0D16"/>
    <w:rsid w:val="000C3101"/>
    <w:rsid w:val="000D4062"/>
    <w:rsid w:val="000E78EA"/>
    <w:rsid w:val="000F6DFC"/>
    <w:rsid w:val="0010329F"/>
    <w:rsid w:val="00106DF8"/>
    <w:rsid w:val="001134DA"/>
    <w:rsid w:val="00116A60"/>
    <w:rsid w:val="00153F4C"/>
    <w:rsid w:val="00154AAD"/>
    <w:rsid w:val="001838F3"/>
    <w:rsid w:val="0018395B"/>
    <w:rsid w:val="00191A5C"/>
    <w:rsid w:val="001A44E9"/>
    <w:rsid w:val="001A72B7"/>
    <w:rsid w:val="001C2EBC"/>
    <w:rsid w:val="001C5EDB"/>
    <w:rsid w:val="001D22B9"/>
    <w:rsid w:val="001D7A12"/>
    <w:rsid w:val="001E1F53"/>
    <w:rsid w:val="001E7349"/>
    <w:rsid w:val="001F4948"/>
    <w:rsid w:val="00226865"/>
    <w:rsid w:val="00237327"/>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46FFD"/>
    <w:rsid w:val="00360A45"/>
    <w:rsid w:val="003647CE"/>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3B69"/>
    <w:rsid w:val="00576758"/>
    <w:rsid w:val="00592C31"/>
    <w:rsid w:val="005A1100"/>
    <w:rsid w:val="005A4E8F"/>
    <w:rsid w:val="005A6F07"/>
    <w:rsid w:val="005C0346"/>
    <w:rsid w:val="005C56A0"/>
    <w:rsid w:val="005C59FD"/>
    <w:rsid w:val="005D53D0"/>
    <w:rsid w:val="005E077A"/>
    <w:rsid w:val="005F1664"/>
    <w:rsid w:val="00600B36"/>
    <w:rsid w:val="00606DC5"/>
    <w:rsid w:val="00611A1C"/>
    <w:rsid w:val="00627D72"/>
    <w:rsid w:val="006857CB"/>
    <w:rsid w:val="00697502"/>
    <w:rsid w:val="006E4938"/>
    <w:rsid w:val="006F7BC1"/>
    <w:rsid w:val="00700BA3"/>
    <w:rsid w:val="00725E20"/>
    <w:rsid w:val="00731145"/>
    <w:rsid w:val="007336FB"/>
    <w:rsid w:val="00742549"/>
    <w:rsid w:val="007564F4"/>
    <w:rsid w:val="007807CE"/>
    <w:rsid w:val="00781494"/>
    <w:rsid w:val="00781D6C"/>
    <w:rsid w:val="007868FE"/>
    <w:rsid w:val="007A0AFE"/>
    <w:rsid w:val="007A6D82"/>
    <w:rsid w:val="007B0B34"/>
    <w:rsid w:val="007E2026"/>
    <w:rsid w:val="007E736F"/>
    <w:rsid w:val="007F1243"/>
    <w:rsid w:val="007F331F"/>
    <w:rsid w:val="007F70B9"/>
    <w:rsid w:val="0080755F"/>
    <w:rsid w:val="00811472"/>
    <w:rsid w:val="00823097"/>
    <w:rsid w:val="00824783"/>
    <w:rsid w:val="00824863"/>
    <w:rsid w:val="00827678"/>
    <w:rsid w:val="00836C56"/>
    <w:rsid w:val="008544CB"/>
    <w:rsid w:val="008563A9"/>
    <w:rsid w:val="00860C58"/>
    <w:rsid w:val="00862782"/>
    <w:rsid w:val="00874AB8"/>
    <w:rsid w:val="008908D7"/>
    <w:rsid w:val="008914DD"/>
    <w:rsid w:val="008A42F4"/>
    <w:rsid w:val="008B30B7"/>
    <w:rsid w:val="008D3782"/>
    <w:rsid w:val="008E6F90"/>
    <w:rsid w:val="00903083"/>
    <w:rsid w:val="00906A6D"/>
    <w:rsid w:val="009248EA"/>
    <w:rsid w:val="00930E75"/>
    <w:rsid w:val="00934DEA"/>
    <w:rsid w:val="00934EA1"/>
    <w:rsid w:val="00935ECE"/>
    <w:rsid w:val="00940CBE"/>
    <w:rsid w:val="009455B3"/>
    <w:rsid w:val="009515E0"/>
    <w:rsid w:val="00954401"/>
    <w:rsid w:val="00956B26"/>
    <w:rsid w:val="00972672"/>
    <w:rsid w:val="00977BA7"/>
    <w:rsid w:val="00984FB8"/>
    <w:rsid w:val="009952AE"/>
    <w:rsid w:val="009A6BE9"/>
    <w:rsid w:val="009B4182"/>
    <w:rsid w:val="009B41E1"/>
    <w:rsid w:val="009B5573"/>
    <w:rsid w:val="009C1A4F"/>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C006D"/>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876C0"/>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270BA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684389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8439914">
      <w:bodyDiv w:val="1"/>
      <w:marLeft w:val="0"/>
      <w:marRight w:val="0"/>
      <w:marTop w:val="0"/>
      <w:marBottom w:val="0"/>
      <w:divBdr>
        <w:top w:val="none" w:sz="0" w:space="0" w:color="auto"/>
        <w:left w:val="none" w:sz="0" w:space="0" w:color="auto"/>
        <w:bottom w:val="none" w:sz="0" w:space="0" w:color="auto"/>
        <w:right w:val="none" w:sz="0" w:space="0" w:color="auto"/>
      </w:divBdr>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89255504">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0808482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522156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3590813">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9186216">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72677">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062620">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84697029">
      <w:bodyDiv w:val="1"/>
      <w:marLeft w:val="0"/>
      <w:marRight w:val="0"/>
      <w:marTop w:val="0"/>
      <w:marBottom w:val="0"/>
      <w:divBdr>
        <w:top w:val="none" w:sz="0" w:space="0" w:color="auto"/>
        <w:left w:val="none" w:sz="0" w:space="0" w:color="auto"/>
        <w:bottom w:val="none" w:sz="0" w:space="0" w:color="auto"/>
        <w:right w:val="none" w:sz="0" w:space="0" w:color="auto"/>
      </w:divBdr>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124254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94715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bmj/375/bmj-2021-068302.full.pdf" TargetMode="External"/><Relationship Id="rId13" Type="http://schemas.openxmlformats.org/officeDocument/2006/relationships/hyperlink" Target="https://eurohealthobservatory.who.int/news-room/news/item/15-11-2021-new-study-helps-policy-makers-to-rebuild-more-resilient-health-systems" TargetMode="External"/><Relationship Id="rId18" Type="http://schemas.openxmlformats.org/officeDocument/2006/relationships/hyperlink" Target="https://www.gov.uk/government/news/13-million-top-up-covid-19-vaccines-given-across-the-uk" TargetMode="External"/><Relationship Id="rId26" Type="http://schemas.openxmlformats.org/officeDocument/2006/relationships/hyperlink" Target="https://www.thelancet.com/action/showPdf?pii=S0140-6736%2821%2901825-0"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www.gov.uk/government/publications/covid-19-booster-vaccine-programme-for-winter-2021-to-2022-jcvi-statement-november-2021" TargetMode="External"/><Relationship Id="rId34" Type="http://schemas.openxmlformats.org/officeDocument/2006/relationships/hyperlink" Target="https://trfthealthweeklydigest.wordpress.com/" TargetMode="External"/><Relationship Id="rId42" Type="http://schemas.openxmlformats.org/officeDocument/2006/relationships/hyperlink" Target="http://www.trftlibraryknowledge.com/" TargetMode="External"/><Relationship Id="rId47" Type="http://schemas.openxmlformats.org/officeDocument/2006/relationships/theme" Target="theme/theme1.xml"/><Relationship Id="rId7" Type="http://schemas.openxmlformats.org/officeDocument/2006/relationships/hyperlink" Target="https://jamanetwork.com/journals/jamanetworkopen/fullarticle/2786180" TargetMode="External"/><Relationship Id="rId12" Type="http://schemas.openxmlformats.org/officeDocument/2006/relationships/hyperlink" Target="https://apps.who.int/iris/rest/bitstreams/1390564/retrieve" TargetMode="External"/><Relationship Id="rId17" Type="http://schemas.openxmlformats.org/officeDocument/2006/relationships/hyperlink" Target="https://www.bmj.com/content/375/bmj.n2824" TargetMode="External"/><Relationship Id="rId25" Type="http://schemas.openxmlformats.org/officeDocument/2006/relationships/hyperlink" Target="https://www.nuffieldtrust.org.uk/resource/chart-of-the-week-how-many-care-home-staff-in-england-have-received-two-covid-19-vaccine-doses" TargetMode="External"/><Relationship Id="rId33" Type="http://schemas.openxmlformats.org/officeDocument/2006/relationships/hyperlink" Target="https://www.trftlibraryknowledge.com/coronavirus.html" TargetMode="External"/><Relationship Id="rId38" Type="http://schemas.openxmlformats.org/officeDocument/2006/relationships/hyperlink" Target="https://www.trftlibraryknowledge.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news/uk-59342607?at_medium=RSS&amp;at_campaign=KARANGA" TargetMode="External"/><Relationship Id="rId20" Type="http://schemas.openxmlformats.org/officeDocument/2006/relationships/hyperlink" Target="https://khub.net/documents/135939561/390853656/Effectiveness+of+BNT162b2+%28Comirnaty%2C+Pfizer-BioNTech%29+COVID-19+booster+vaccine+against+covid-19+related+symptoms+in+England.docx/a366af4e-9c7f-ce86-bc58-1cb3b88e3378" TargetMode="External"/><Relationship Id="rId29" Type="http://schemas.openxmlformats.org/officeDocument/2006/relationships/hyperlink" Target="https://www.gov.uk/government/publications/react-1-study-of-coronavirus-transmission-october-2021-final-result"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healthandsocialcare/conditionsanddiseases/bulletins/coronaviruscovid19infectionsurveycharacteristicsofpeopletestingpositiveforcovid19uk/17november2021" TargetMode="External"/><Relationship Id="rId24" Type="http://schemas.openxmlformats.org/officeDocument/2006/relationships/hyperlink" Target="https://www.gov.uk/government/news/government-accepts-jcvi-advice-on-covid-19-vaccination-programme" TargetMode="External"/><Relationship Id="rId32" Type="http://schemas.openxmlformats.org/officeDocument/2006/relationships/hyperlink" Target="https://www.trftlibraryknowledge.com/" TargetMode="External"/><Relationship Id="rId37" Type="http://schemas.openxmlformats.org/officeDocument/2006/relationships/hyperlink" Target="https://www.trftlibraryknowledge.com/health-newsfeeds.html" TargetMode="External"/><Relationship Id="rId40" Type="http://schemas.openxmlformats.org/officeDocument/2006/relationships/hyperlink" Target="https://trfthealthweeklydigest.wordpress.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ao.org.uk/press-release/the-governments-preparedness-for-the-covid-19-pandemic-lessons-for-government-on-risk-management/" TargetMode="External"/><Relationship Id="rId23" Type="http://schemas.openxmlformats.org/officeDocument/2006/relationships/hyperlink" Target="https://www.gov.uk/government/publications/covid-19-vaccination-in-children-and-young-people-aged-16-to-17-years-jcvi-statement-november-2021" TargetMode="External"/><Relationship Id="rId28" Type="http://schemas.openxmlformats.org/officeDocument/2006/relationships/hyperlink" Target="https://www.cqc.org.uk/publications/themes-care/provider-collaboration-review-mental-health-care-children-young-people" TargetMode="External"/><Relationship Id="rId36" Type="http://schemas.openxmlformats.org/officeDocument/2006/relationships/hyperlink" Target="http://www.trftlibraryknowledge.com/" TargetMode="External"/><Relationship Id="rId10" Type="http://schemas.openxmlformats.org/officeDocument/2006/relationships/hyperlink" Target="https://www.bmj.com/content/375/bmj.n2812" TargetMode="External"/><Relationship Id="rId19" Type="http://schemas.openxmlformats.org/officeDocument/2006/relationships/hyperlink" Target="https://www.bmj.com/content/375/bmj.n2814" TargetMode="External"/><Relationship Id="rId31" Type="http://schemas.openxmlformats.org/officeDocument/2006/relationships/hyperlink" Target="https://www.imperial.ac.uk/news/231959/covid-19-vaccination-cuts-infection-risk-hal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mj.com/content/375/bmj.n2729" TargetMode="External"/><Relationship Id="rId14" Type="http://schemas.openxmlformats.org/officeDocument/2006/relationships/hyperlink" Target="https://www.nao.org.uk/wp-content/uploads/2021/11/The-governments-preparedness-for-the-COVID-19-pandemic-lessons-for-government-on-risk-management.pdf" TargetMode="External"/><Relationship Id="rId22" Type="http://schemas.openxmlformats.org/officeDocument/2006/relationships/hyperlink" Target="https://www.gov.uk/government/news/government-accepts-jcvi-advice-on-covid-19-vaccination-programme" TargetMode="External"/><Relationship Id="rId27" Type="http://schemas.openxmlformats.org/officeDocument/2006/relationships/hyperlink" Target="https://bmjopen.bmj.com/content/bmjopen/11/11/e053507.full.pdf" TargetMode="External"/><Relationship Id="rId30" Type="http://schemas.openxmlformats.org/officeDocument/2006/relationships/hyperlink" Target="https://spiral.imperial.ac.uk/bitstream/10044/1/92501/2/REACT1_Round15_Final.pdf" TargetMode="External"/><Relationship Id="rId35" Type="http://schemas.openxmlformats.org/officeDocument/2006/relationships/hyperlink" Target="https://twitter.com/hashtag/covid19rftlks?src=hashtag_click" TargetMode="External"/><Relationship Id="rId43"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3008</Words>
  <Characters>17151</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2021-11-17T10:33:00Z</dcterms:created>
  <dcterms:modified xsi:type="dcterms:W3CDTF">2021-11-19T15:09:00Z</dcterms:modified>
</cp:coreProperties>
</file>