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570A36" w:rsidP="00836C56">
                            <w:pPr>
                              <w:jc w:val="right"/>
                              <w:rPr>
                                <w:color w:val="FFFFFF" w:themeColor="background1"/>
                                <w:sz w:val="32"/>
                                <w:szCs w:val="36"/>
                              </w:rPr>
                            </w:pPr>
                            <w:r>
                              <w:rPr>
                                <w:color w:val="FFFFFF" w:themeColor="background1"/>
                                <w:sz w:val="32"/>
                                <w:szCs w:val="36"/>
                              </w:rPr>
                              <w:t>16</w:t>
                            </w:r>
                            <w:r w:rsidRPr="00570A36">
                              <w:rPr>
                                <w:color w:val="FFFFFF" w:themeColor="background1"/>
                                <w:sz w:val="32"/>
                                <w:szCs w:val="36"/>
                                <w:vertAlign w:val="superscript"/>
                              </w:rPr>
                              <w:t>th</w:t>
                            </w:r>
                            <w:r>
                              <w:rPr>
                                <w:color w:val="FFFFFF" w:themeColor="background1"/>
                                <w:sz w:val="32"/>
                                <w:szCs w:val="36"/>
                              </w:rPr>
                              <w:t xml:space="preserve"> July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570A36" w:rsidP="00836C56">
                      <w:pPr>
                        <w:jc w:val="right"/>
                        <w:rPr>
                          <w:color w:val="FFFFFF" w:themeColor="background1"/>
                          <w:sz w:val="32"/>
                          <w:szCs w:val="36"/>
                        </w:rPr>
                      </w:pPr>
                      <w:r>
                        <w:rPr>
                          <w:color w:val="FFFFFF" w:themeColor="background1"/>
                          <w:sz w:val="32"/>
                          <w:szCs w:val="36"/>
                        </w:rPr>
                        <w:t>16</w:t>
                      </w:r>
                      <w:r w:rsidRPr="00570A36">
                        <w:rPr>
                          <w:color w:val="FFFFFF" w:themeColor="background1"/>
                          <w:sz w:val="32"/>
                          <w:szCs w:val="36"/>
                          <w:vertAlign w:val="superscript"/>
                        </w:rPr>
                        <w:t>th</w:t>
                      </w:r>
                      <w:r>
                        <w:rPr>
                          <w:color w:val="FFFFFF" w:themeColor="background1"/>
                          <w:sz w:val="32"/>
                          <w:szCs w:val="36"/>
                        </w:rPr>
                        <w:t xml:space="preserve"> July 2021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106DF8" w:rsidRDefault="00106DF8" w:rsidP="00106DF8">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570A36" w:rsidRPr="00570A36">
        <w:rPr>
          <w:rFonts w:eastAsiaTheme="minorEastAsia"/>
          <w:caps/>
          <w:spacing w:val="15"/>
        </w:rPr>
        <w:t>COVID-19 and the digital divide: Supporting digital inclusion and skills during the pandemic and beyond</w:t>
      </w:r>
    </w:p>
    <w:p w:rsidR="00570A36" w:rsidRDefault="00570A36" w:rsidP="00106DF8">
      <w:pPr>
        <w:spacing w:before="200"/>
        <w:rPr>
          <w:rFonts w:eastAsiaTheme="minorEastAsia"/>
        </w:rPr>
      </w:pPr>
      <w:r w:rsidRPr="00570A36">
        <w:rPr>
          <w:rFonts w:eastAsiaTheme="minorEastAsia"/>
        </w:rPr>
        <w:t>Centre for Ageing Better</w:t>
      </w:r>
      <w:r>
        <w:rPr>
          <w:rFonts w:eastAsiaTheme="minorEastAsia"/>
        </w:rPr>
        <w:t xml:space="preserve"> | 6</w:t>
      </w:r>
      <w:r w:rsidRPr="00570A36">
        <w:rPr>
          <w:rFonts w:eastAsiaTheme="minorEastAsia"/>
          <w:vertAlign w:val="superscript"/>
        </w:rPr>
        <w:t>th</w:t>
      </w:r>
      <w:r>
        <w:rPr>
          <w:rFonts w:eastAsiaTheme="minorEastAsia"/>
        </w:rPr>
        <w:t xml:space="preserve"> July 2021</w:t>
      </w:r>
    </w:p>
    <w:p w:rsidR="00570A36" w:rsidRDefault="00570A36" w:rsidP="00106DF8">
      <w:pPr>
        <w:spacing w:before="200"/>
        <w:rPr>
          <w:rFonts w:eastAsiaTheme="minorEastAsia"/>
        </w:rPr>
      </w:pPr>
      <w:r w:rsidRPr="00570A36">
        <w:rPr>
          <w:rFonts w:eastAsiaTheme="minorEastAsia"/>
        </w:rPr>
        <w:t>Before the COVID-19 pandemic, people without access to the internet were already at a significant disadvantage in terms of seeking job opportunities, accessing financial support, and connecting with organisations. The pandemic has dramatically exacerbated this situation.</w:t>
      </w:r>
    </w:p>
    <w:p w:rsidR="00570A36" w:rsidRPr="00570A36" w:rsidRDefault="00570A36" w:rsidP="00570A36">
      <w:pPr>
        <w:spacing w:before="200"/>
        <w:rPr>
          <w:rFonts w:eastAsiaTheme="minorEastAsia"/>
          <w:bCs/>
        </w:rPr>
      </w:pPr>
      <w:r w:rsidRPr="00570A36">
        <w:rPr>
          <w:rFonts w:eastAsiaTheme="minorEastAsia"/>
          <w:bCs/>
        </w:rPr>
        <w:t>This report offers examples of good practice and recommendations for organisations that deliver services to users and help digitally excluded people with skills training.</w:t>
      </w:r>
      <w:r>
        <w:rPr>
          <w:rFonts w:eastAsiaTheme="minorEastAsia"/>
          <w:bCs/>
        </w:rPr>
        <w:t xml:space="preserve"> </w:t>
      </w:r>
      <w:r w:rsidRPr="00570A36">
        <w:rPr>
          <w:rFonts w:eastAsiaTheme="minorEastAsia"/>
          <w:bCs/>
        </w:rPr>
        <w:t>The report finds that the key to building digital inclusion isn’t only about getting more people online, but also building skills and confidence. </w:t>
      </w:r>
    </w:p>
    <w:p w:rsidR="00570A36" w:rsidRPr="00570A36" w:rsidRDefault="00570A36" w:rsidP="00570A36">
      <w:pPr>
        <w:spacing w:before="200"/>
        <w:rPr>
          <w:rFonts w:eastAsiaTheme="minorEastAsia"/>
          <w:bCs/>
        </w:rPr>
      </w:pPr>
      <w:r w:rsidRPr="00570A36">
        <w:rPr>
          <w:rFonts w:eastAsiaTheme="minorEastAsia"/>
          <w:bCs/>
        </w:rPr>
        <w:t>National and local government need to recognise and promote the crucial digital support offered by local organisations to combat widening digital inequalities. It's also important to recognise that many people still do not want to use the internet and want to continue using non-digital channels.</w:t>
      </w:r>
    </w:p>
    <w:p w:rsidR="00570A36" w:rsidRPr="00570A36" w:rsidRDefault="00570A36" w:rsidP="00570A36">
      <w:pPr>
        <w:spacing w:before="200"/>
        <w:rPr>
          <w:rFonts w:eastAsiaTheme="minorEastAsia"/>
          <w:bCs/>
        </w:rPr>
      </w:pPr>
      <w:r>
        <w:rPr>
          <w:rFonts w:eastAsiaTheme="minorEastAsia"/>
          <w:bCs/>
        </w:rPr>
        <w:t xml:space="preserve">Full report: </w:t>
      </w:r>
      <w:hyperlink r:id="rId7" w:history="1">
        <w:r w:rsidRPr="00570A36">
          <w:rPr>
            <w:rStyle w:val="Hyperlink"/>
            <w:rFonts w:eastAsiaTheme="minorEastAsia"/>
            <w:bCs/>
          </w:rPr>
          <w:t>COVID-19 and the digital divide: Supporting digital inclusion and skills during the pandemic and beyond</w:t>
        </w:r>
      </w:hyperlink>
      <w:r>
        <w:rPr>
          <w:rFonts w:eastAsiaTheme="minorEastAsia"/>
          <w:bCs/>
        </w:rPr>
        <w:br/>
      </w:r>
    </w:p>
    <w:p w:rsidR="002E7648" w:rsidRDefault="002E7648" w:rsidP="002E764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154F75">
        <w:rPr>
          <w:rFonts w:eastAsiaTheme="minorEastAsia"/>
          <w:caps/>
          <w:spacing w:val="15"/>
        </w:rPr>
        <w:t>Diabetes and COVID-19: Population Impact 18 Months Into the Pandemic</w:t>
      </w:r>
    </w:p>
    <w:p w:rsidR="002E7648" w:rsidRDefault="002E7648" w:rsidP="002E7648">
      <w:pPr>
        <w:spacing w:before="200"/>
        <w:rPr>
          <w:rFonts w:eastAsiaTheme="minorEastAsia"/>
        </w:rPr>
      </w:pPr>
      <w:r w:rsidRPr="005D5495">
        <w:rPr>
          <w:rFonts w:eastAsiaTheme="minorEastAsia"/>
        </w:rPr>
        <w:t>Diabetes Care </w:t>
      </w:r>
      <w:r>
        <w:rPr>
          <w:rFonts w:eastAsiaTheme="minorEastAsia"/>
        </w:rPr>
        <w:t xml:space="preserve">| July </w:t>
      </w:r>
      <w:r w:rsidRPr="005D5495">
        <w:rPr>
          <w:rFonts w:eastAsiaTheme="minorEastAsia"/>
        </w:rPr>
        <w:t xml:space="preserve">2021 </w:t>
      </w:r>
    </w:p>
    <w:p w:rsidR="002E7648" w:rsidRDefault="002E7648" w:rsidP="002E7648">
      <w:pPr>
        <w:spacing w:before="200"/>
        <w:rPr>
          <w:rFonts w:eastAsiaTheme="minorEastAsia"/>
        </w:rPr>
      </w:pPr>
      <w:r w:rsidRPr="00154F75">
        <w:rPr>
          <w:rFonts w:eastAsiaTheme="minorEastAsia"/>
        </w:rPr>
        <w:t xml:space="preserve">Eighteen months into the severe acute respiratory syndrome coronavirus 2 (SARS-CoV-2) (coronavirus disease 2019 [COVID-19]) pandemic, epidemiologic studies indicate that diabetes is a central contributor to severe COVID-19 morbidity, and, conversely, COVID-19 has had a devastating effect on the population with diabetes. </w:t>
      </w:r>
    </w:p>
    <w:p w:rsidR="002E7648" w:rsidRDefault="002E7648" w:rsidP="002E7648">
      <w:pPr>
        <w:spacing w:before="200"/>
        <w:rPr>
          <w:rFonts w:eastAsiaTheme="minorEastAsia"/>
        </w:rPr>
      </w:pPr>
      <w:r>
        <w:rPr>
          <w:rFonts w:eastAsiaTheme="minorEastAsia"/>
        </w:rPr>
        <w:t>In this literature synthesis, the authors</w:t>
      </w:r>
      <w:r w:rsidRPr="00154F75">
        <w:rPr>
          <w:rFonts w:eastAsiaTheme="minorEastAsia"/>
        </w:rPr>
        <w:t xml:space="preserve"> summarize the relationship of diabetes to COVID-19–related morbidity and mortality, discuss the predictors of severe adverse outcomes and implications of the overall pandemic, and critique the current status of and identify needs for epidemiologic studies for the next phase of the pandemic.</w:t>
      </w:r>
    </w:p>
    <w:p w:rsidR="002E7648" w:rsidRDefault="002E7648" w:rsidP="002E7648">
      <w:pPr>
        <w:spacing w:before="200"/>
        <w:rPr>
          <w:rFonts w:eastAsiaTheme="minorEastAsia"/>
        </w:rPr>
      </w:pPr>
      <w:r>
        <w:rPr>
          <w:rFonts w:eastAsiaTheme="minorEastAsia"/>
        </w:rPr>
        <w:t xml:space="preserve">Full paper: </w:t>
      </w:r>
      <w:hyperlink r:id="rId8" w:history="1">
        <w:r w:rsidRPr="005D5495">
          <w:rPr>
            <w:rStyle w:val="Hyperlink"/>
            <w:rFonts w:eastAsiaTheme="minorEastAsia"/>
          </w:rPr>
          <w:t>Diabetes and COVID-19: Population impact 18 months into the pandemic</w:t>
        </w:r>
      </w:hyperlink>
      <w:r w:rsidR="0062508C">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lastRenderedPageBreak/>
        <w:t>Title:</w:t>
      </w:r>
      <w:r w:rsidRPr="00D6477B">
        <w:rPr>
          <w:rFonts w:eastAsiaTheme="minorEastAsia"/>
          <w:caps/>
          <w:spacing w:val="15"/>
        </w:rPr>
        <w:t xml:space="preserve"> </w:t>
      </w:r>
      <w:r w:rsidR="0062508C" w:rsidRPr="0062508C">
        <w:rPr>
          <w:rFonts w:eastAsiaTheme="minorEastAsia"/>
          <w:caps/>
          <w:spacing w:val="15"/>
        </w:rPr>
        <w:t>COVID-19: guidance on protecting people defined on medical grounds as extremely vulnerable</w:t>
      </w:r>
    </w:p>
    <w:p w:rsidR="0062508C" w:rsidRDefault="0062508C" w:rsidP="002E7648">
      <w:pPr>
        <w:spacing w:before="200"/>
        <w:rPr>
          <w:rFonts w:eastAsiaTheme="minorEastAsia"/>
        </w:rPr>
      </w:pPr>
      <w:r>
        <w:rPr>
          <w:rFonts w:eastAsiaTheme="minorEastAsia"/>
        </w:rPr>
        <w:t>Public Health England |</w:t>
      </w:r>
      <w:r w:rsidRPr="0062508C">
        <w:rPr>
          <w:rFonts w:eastAsiaTheme="minorEastAsia"/>
        </w:rPr>
        <w:t xml:space="preserve"> Department of Health and Social Care</w:t>
      </w:r>
      <w:r>
        <w:rPr>
          <w:rFonts w:eastAsiaTheme="minorEastAsia"/>
        </w:rPr>
        <w:t xml:space="preserve"> | Updated 12</w:t>
      </w:r>
      <w:r w:rsidRPr="0062508C">
        <w:rPr>
          <w:rFonts w:eastAsiaTheme="minorEastAsia"/>
          <w:vertAlign w:val="superscript"/>
        </w:rPr>
        <w:t>th</w:t>
      </w:r>
      <w:r>
        <w:rPr>
          <w:rFonts w:eastAsiaTheme="minorEastAsia"/>
        </w:rPr>
        <w:t xml:space="preserve"> July 2021</w:t>
      </w:r>
    </w:p>
    <w:p w:rsidR="002E7648" w:rsidRPr="002E7648" w:rsidRDefault="002E7648" w:rsidP="002E7648">
      <w:pPr>
        <w:spacing w:before="200"/>
        <w:rPr>
          <w:rFonts w:eastAsiaTheme="minorEastAsia"/>
        </w:rPr>
      </w:pPr>
      <w:r w:rsidRPr="002E7648">
        <w:rPr>
          <w:rFonts w:eastAsiaTheme="minorEastAsia"/>
        </w:rPr>
        <w:t>This guidance is for clinically extremely vulnerable people. Everyone in England is advised to follow the government guidance on </w:t>
      </w:r>
      <w:hyperlink r:id="rId9" w:history="1">
        <w:r w:rsidRPr="002E7648">
          <w:rPr>
            <w:rStyle w:val="Hyperlink"/>
            <w:rFonts w:eastAsiaTheme="minorEastAsia"/>
          </w:rPr>
          <w:t>what you can and cannot do</w:t>
        </w:r>
      </w:hyperlink>
      <w:r w:rsidRPr="002E7648">
        <w:rPr>
          <w:rFonts w:eastAsiaTheme="minorEastAsia"/>
        </w:rPr>
        <w:t> until 19 July 2021.</w:t>
      </w:r>
    </w:p>
    <w:p w:rsidR="002E7648" w:rsidRPr="002E7648" w:rsidRDefault="002E7648" w:rsidP="002E7648">
      <w:pPr>
        <w:spacing w:before="200"/>
        <w:rPr>
          <w:rFonts w:eastAsiaTheme="minorEastAsia"/>
        </w:rPr>
      </w:pPr>
      <w:r w:rsidRPr="002E7648">
        <w:rPr>
          <w:rFonts w:eastAsiaTheme="minorEastAsia"/>
        </w:rPr>
        <w:t>England will move to Step 4 of the roadmap out of lockdown on 19 July 2021, at which point everyone should follow guidance on </w:t>
      </w:r>
      <w:hyperlink r:id="rId10" w:history="1">
        <w:r w:rsidRPr="002E7648">
          <w:rPr>
            <w:rStyle w:val="Hyperlink"/>
            <w:rFonts w:eastAsiaTheme="minorEastAsia"/>
          </w:rPr>
          <w:t>how to stay safe and help prevent the spread</w:t>
        </w:r>
      </w:hyperlink>
      <w:r w:rsidRPr="002E7648">
        <w:rPr>
          <w:rFonts w:eastAsiaTheme="minorEastAsia"/>
        </w:rPr>
        <w:t>. New </w:t>
      </w:r>
      <w:hyperlink r:id="rId11" w:history="1">
        <w:r w:rsidRPr="002E7648">
          <w:rPr>
            <w:rStyle w:val="Hyperlink"/>
            <w:rFonts w:eastAsiaTheme="minorEastAsia"/>
          </w:rPr>
          <w:t>guidance for the clinically extremely vulnerable</w:t>
        </w:r>
      </w:hyperlink>
      <w:r w:rsidRPr="002E7648">
        <w:rPr>
          <w:rFonts w:eastAsiaTheme="minorEastAsia"/>
        </w:rPr>
        <w:t> is available from this date.</w:t>
      </w:r>
    </w:p>
    <w:p w:rsidR="002E7648" w:rsidRPr="002E7648" w:rsidRDefault="002E7648" w:rsidP="002E7648">
      <w:pPr>
        <w:spacing w:before="200"/>
        <w:rPr>
          <w:rFonts w:eastAsiaTheme="minorEastAsia"/>
        </w:rPr>
      </w:pPr>
      <w:r w:rsidRPr="002E7648">
        <w:rPr>
          <w:rFonts w:eastAsiaTheme="minorEastAsia"/>
        </w:rPr>
        <w:t>The easy-read and translated versions refer to the current guidance and will be updated after the new guidance for the clinically extremely vulnerable comes into effect on 19 July 2021.</w:t>
      </w:r>
    </w:p>
    <w:p w:rsidR="00106DF8" w:rsidRDefault="0062508C" w:rsidP="00106DF8">
      <w:pPr>
        <w:spacing w:before="200"/>
        <w:rPr>
          <w:rFonts w:eastAsiaTheme="minorEastAsia"/>
        </w:rPr>
      </w:pPr>
      <w:r>
        <w:rPr>
          <w:rFonts w:eastAsiaTheme="minorEastAsia"/>
        </w:rPr>
        <w:t xml:space="preserve">Full detail: </w:t>
      </w:r>
      <w:hyperlink r:id="rId12" w:history="1">
        <w:r w:rsidRPr="0062508C">
          <w:rPr>
            <w:rStyle w:val="Hyperlink"/>
            <w:rFonts w:eastAsiaTheme="minorEastAsia"/>
          </w:rPr>
          <w:t>COVID-19: guidance on protecting people defined on medical grounds as extremely vulnerable</w:t>
        </w:r>
      </w:hyperlink>
      <w:r w:rsidR="00570A36">
        <w:rPr>
          <w:rStyle w:val="Hyperlink"/>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70A36" w:rsidRPr="00570A36">
        <w:rPr>
          <w:rFonts w:eastAsiaTheme="minorEastAsia"/>
          <w:caps/>
          <w:spacing w:val="15"/>
        </w:rPr>
        <w:t>“Freedom day” in England could lead to “significant third wave of hospitalisations and deaths,” modelling predicts</w:t>
      </w:r>
    </w:p>
    <w:p w:rsidR="00106DF8" w:rsidRDefault="00570A36" w:rsidP="00106DF8">
      <w:pPr>
        <w:spacing w:before="200"/>
        <w:rPr>
          <w:rFonts w:eastAsiaTheme="minorEastAsia"/>
        </w:rPr>
      </w:pPr>
      <w:r w:rsidRPr="00570A36">
        <w:rPr>
          <w:rFonts w:eastAsiaTheme="minorEastAsia"/>
        </w:rPr>
        <w:t xml:space="preserve">BMJ </w:t>
      </w:r>
      <w:r w:rsidR="000B185D">
        <w:rPr>
          <w:rFonts w:eastAsiaTheme="minorEastAsia"/>
        </w:rPr>
        <w:t xml:space="preserve">| </w:t>
      </w:r>
      <w:r w:rsidRPr="00570A36">
        <w:rPr>
          <w:rFonts w:eastAsiaTheme="minorEastAsia"/>
        </w:rPr>
        <w:t>2021;</w:t>
      </w:r>
      <w:r w:rsidR="000B185D">
        <w:rPr>
          <w:rFonts w:eastAsiaTheme="minorEastAsia"/>
        </w:rPr>
        <w:t xml:space="preserve"> </w:t>
      </w:r>
      <w:r w:rsidRPr="00570A36">
        <w:rPr>
          <w:rFonts w:eastAsiaTheme="minorEastAsia"/>
        </w:rPr>
        <w:t>374:</w:t>
      </w:r>
      <w:r w:rsidR="000B185D">
        <w:rPr>
          <w:rFonts w:eastAsiaTheme="minorEastAsia"/>
        </w:rPr>
        <w:t xml:space="preserve"> </w:t>
      </w:r>
      <w:r w:rsidRPr="00570A36">
        <w:rPr>
          <w:rFonts w:eastAsiaTheme="minorEastAsia"/>
        </w:rPr>
        <w:t>n1789</w:t>
      </w:r>
      <w:r w:rsidR="000B185D">
        <w:rPr>
          <w:rFonts w:eastAsiaTheme="minorEastAsia"/>
        </w:rPr>
        <w:t xml:space="preserve"> | 14</w:t>
      </w:r>
      <w:r w:rsidR="000B185D" w:rsidRPr="000B185D">
        <w:rPr>
          <w:rFonts w:eastAsiaTheme="minorEastAsia"/>
          <w:vertAlign w:val="superscript"/>
        </w:rPr>
        <w:t>th</w:t>
      </w:r>
      <w:r w:rsidR="000B185D">
        <w:rPr>
          <w:rFonts w:eastAsiaTheme="minorEastAsia"/>
        </w:rPr>
        <w:t xml:space="preserve"> July 2021</w:t>
      </w:r>
    </w:p>
    <w:p w:rsidR="000B185D" w:rsidRPr="000B185D" w:rsidRDefault="000B185D" w:rsidP="000B185D">
      <w:pPr>
        <w:spacing w:before="200"/>
        <w:rPr>
          <w:rFonts w:eastAsiaTheme="minorEastAsia"/>
        </w:rPr>
      </w:pPr>
      <w:r>
        <w:rPr>
          <w:rFonts w:eastAsiaTheme="minorEastAsia"/>
        </w:rPr>
        <w:t>T</w:t>
      </w:r>
      <w:r w:rsidRPr="000B185D">
        <w:rPr>
          <w:rFonts w:eastAsiaTheme="minorEastAsia"/>
        </w:rPr>
        <w:t>he government’s decision to lift all covid restrictions in England on 19 July could lead to “a significant third wave of hospitalisations and deaths,” modellers have projected.</w:t>
      </w:r>
    </w:p>
    <w:p w:rsidR="000B185D" w:rsidRPr="000B185D" w:rsidRDefault="000B185D" w:rsidP="000B185D">
      <w:pPr>
        <w:spacing w:before="200"/>
        <w:rPr>
          <w:rFonts w:eastAsiaTheme="minorEastAsia"/>
        </w:rPr>
      </w:pPr>
      <w:r w:rsidRPr="000B185D">
        <w:rPr>
          <w:rFonts w:eastAsiaTheme="minorEastAsia"/>
        </w:rPr>
        <w:t>Researchers at Imperial College London evaluated the impact of removing non-pharmaceutical interventions such as physical distancing and mask wearing on 19 July in a range of scenarios, including variable vaccine efficacy and people’s different behaviours.</w:t>
      </w:r>
    </w:p>
    <w:p w:rsidR="000B185D" w:rsidRDefault="000B185D" w:rsidP="000B185D">
      <w:pPr>
        <w:spacing w:before="200"/>
        <w:rPr>
          <w:rFonts w:eastAsiaTheme="minorEastAsia"/>
        </w:rPr>
      </w:pPr>
      <w:r w:rsidRPr="000B185D">
        <w:rPr>
          <w:rFonts w:eastAsiaTheme="minorEastAsia"/>
        </w:rPr>
        <w:t>The team noted uncertainty about the level of impact but concluded, “Across all transmissibility and vaccine effectiveness scenarios explored, we estimate that lifting restrictions on 19 July in the context of [the delta variant] could lead to a significant third wave of hospitalisations and deaths.”</w:t>
      </w:r>
    </w:p>
    <w:p w:rsidR="000B185D" w:rsidRPr="000B185D" w:rsidRDefault="000B185D" w:rsidP="000B185D">
      <w:pPr>
        <w:spacing w:before="200"/>
        <w:rPr>
          <w:rFonts w:eastAsiaTheme="minorEastAsia"/>
        </w:rPr>
      </w:pPr>
      <w:r w:rsidRPr="000B185D">
        <w:rPr>
          <w:rFonts w:eastAsiaTheme="minorEastAsia"/>
        </w:rPr>
        <w:t>The Imperial team’s modelling predicts that, in all scenarios explored, lifting restrictions on 19 July in the context of the delta variant could lead to a total additional number of deaths ranging from 9400 in the most optimistic scenario to 115 800 by 1 June 2022.</w:t>
      </w:r>
    </w:p>
    <w:p w:rsidR="000B185D" w:rsidRDefault="000B185D" w:rsidP="000B185D">
      <w:pPr>
        <w:spacing w:before="200"/>
        <w:rPr>
          <w:rFonts w:eastAsiaTheme="minorEastAsia"/>
        </w:rPr>
      </w:pPr>
      <w:r w:rsidRPr="000B185D">
        <w:rPr>
          <w:rFonts w:eastAsiaTheme="minorEastAsia"/>
        </w:rPr>
        <w:t>In a scenario where people’s adherence to current precautionary measures wanes gradually from 19 July onwards, the Imperial team forecast substantially lower</w:t>
      </w:r>
      <w:r>
        <w:rPr>
          <w:rFonts w:eastAsiaTheme="minorEastAsia"/>
        </w:rPr>
        <w:t xml:space="preserve"> numbers of hospital admissions.</w:t>
      </w:r>
    </w:p>
    <w:p w:rsidR="000B185D" w:rsidRDefault="000B185D" w:rsidP="000B185D">
      <w:pPr>
        <w:spacing w:before="200"/>
        <w:rPr>
          <w:rFonts w:eastAsiaTheme="minorEastAsia"/>
        </w:rPr>
      </w:pPr>
      <w:r>
        <w:rPr>
          <w:rFonts w:eastAsiaTheme="minorEastAsia"/>
        </w:rPr>
        <w:t>Further detail:</w:t>
      </w:r>
      <w:r w:rsidRPr="000B185D">
        <w:rPr>
          <w:rFonts w:eastAsiaTheme="minorEastAsia"/>
        </w:rPr>
        <w:t xml:space="preserve"> </w:t>
      </w:r>
      <w:hyperlink r:id="rId13" w:history="1">
        <w:r w:rsidRPr="000B185D">
          <w:rPr>
            <w:rStyle w:val="Hyperlink"/>
            <w:rFonts w:eastAsiaTheme="minorEastAsia"/>
          </w:rPr>
          <w:t>“Freedom day” in England could lead to “significant third wave of hospitalisations and deaths,” modelling predicts</w:t>
        </w:r>
      </w:hyperlink>
    </w:p>
    <w:p w:rsidR="000B185D" w:rsidRDefault="000B185D" w:rsidP="000B185D">
      <w:pPr>
        <w:spacing w:before="200"/>
        <w:rPr>
          <w:rFonts w:eastAsiaTheme="minorEastAsia"/>
        </w:rPr>
      </w:pPr>
      <w:r>
        <w:rPr>
          <w:rFonts w:eastAsiaTheme="minorEastAsia"/>
        </w:rPr>
        <w:t xml:space="preserve">Related: </w:t>
      </w:r>
      <w:hyperlink r:id="rId14" w:history="1">
        <w:r w:rsidRPr="000B185D">
          <w:rPr>
            <w:rStyle w:val="Hyperlink"/>
            <w:rFonts w:eastAsiaTheme="minorEastAsia"/>
          </w:rPr>
          <w:t>Evaluating the roadmap out of lockdown for England: modelling the delayed step 4 of the roadmap in the context of the delta variant</w:t>
        </w:r>
      </w:hyperlink>
      <w:r>
        <w:rPr>
          <w:rFonts w:eastAsiaTheme="minorEastAsia"/>
        </w:rPr>
        <w:t xml:space="preserve"> | </w:t>
      </w:r>
      <w:r w:rsidRPr="000B185D">
        <w:rPr>
          <w:rFonts w:eastAsiaTheme="minorEastAsia"/>
        </w:rPr>
        <w:t>Imperial College London</w:t>
      </w:r>
    </w:p>
    <w:p w:rsidR="00572CC2" w:rsidRDefault="00572CC2" w:rsidP="00572CC2">
      <w:pPr>
        <w:spacing w:before="200"/>
        <w:rPr>
          <w:rFonts w:eastAsiaTheme="minorEastAsia"/>
        </w:rPr>
      </w:pPr>
      <w:r>
        <w:rPr>
          <w:rFonts w:eastAsiaTheme="minorEastAsia"/>
        </w:rPr>
        <w:lastRenderedPageBreak/>
        <w:t>See also</w:t>
      </w:r>
      <w:r w:rsidR="003B62A2">
        <w:rPr>
          <w:rFonts w:eastAsiaTheme="minorEastAsia"/>
        </w:rPr>
        <w:t>:</w:t>
      </w:r>
    </w:p>
    <w:p w:rsidR="003B62A2" w:rsidRDefault="00FB2FFA" w:rsidP="00D30D2A">
      <w:pPr>
        <w:pStyle w:val="ListParagraph"/>
        <w:numPr>
          <w:ilvl w:val="0"/>
          <w:numId w:val="2"/>
        </w:numPr>
        <w:spacing w:before="200"/>
        <w:rPr>
          <w:rFonts w:ascii="Calibri" w:eastAsia="Times New Roman" w:hAnsi="Calibri" w:cs="Times New Roman"/>
        </w:rPr>
      </w:pPr>
      <w:hyperlink r:id="rId15" w:history="1">
        <w:r w:rsidR="003B62A2" w:rsidRPr="00382E32">
          <w:rPr>
            <w:rFonts w:ascii="Calibri" w:eastAsia="Times New Roman" w:hAnsi="Calibri" w:cs="Times New Roman"/>
            <w:color w:val="0000FF" w:themeColor="hyperlink"/>
            <w:u w:val="single"/>
          </w:rPr>
          <w:t>Lifting of COVID-19 restrictions in the UK and the Delta variant</w:t>
        </w:r>
      </w:hyperlink>
      <w:r w:rsidR="003B62A2" w:rsidRPr="00382E32">
        <w:rPr>
          <w:rFonts w:ascii="Calibri" w:eastAsia="Times New Roman" w:hAnsi="Calibri" w:cs="Times New Roman"/>
        </w:rPr>
        <w:t xml:space="preserve"> | The Lancet Respiratory Medicine</w:t>
      </w:r>
    </w:p>
    <w:p w:rsidR="003B62A2" w:rsidRPr="00105EDC" w:rsidRDefault="00FB2FFA" w:rsidP="00D30D2A">
      <w:pPr>
        <w:pStyle w:val="ListParagraph"/>
        <w:numPr>
          <w:ilvl w:val="0"/>
          <w:numId w:val="2"/>
        </w:numPr>
        <w:spacing w:before="200"/>
        <w:rPr>
          <w:rFonts w:eastAsiaTheme="minorEastAsia"/>
        </w:rPr>
      </w:pPr>
      <w:hyperlink r:id="rId16" w:history="1">
        <w:r w:rsidR="003B62A2" w:rsidRPr="003B62A2">
          <w:rPr>
            <w:rStyle w:val="Hyperlink"/>
            <w:rFonts w:ascii="Calibri" w:eastAsia="Times New Roman" w:hAnsi="Calibri" w:cs="Times New Roman"/>
          </w:rPr>
          <w:t>Caution, vaccines, testing: the only way forward</w:t>
        </w:r>
      </w:hyperlink>
      <w:r w:rsidR="003B62A2" w:rsidRPr="003B62A2">
        <w:rPr>
          <w:rFonts w:ascii="Calibri" w:eastAsia="Times New Roman" w:hAnsi="Calibri" w:cs="Times New Roman"/>
        </w:rPr>
        <w:t xml:space="preserve"> | BMJ</w:t>
      </w:r>
    </w:p>
    <w:p w:rsidR="00105EDC" w:rsidRPr="00E72425" w:rsidRDefault="00FB2FFA" w:rsidP="00D30D2A">
      <w:pPr>
        <w:pStyle w:val="ListParagraph"/>
        <w:numPr>
          <w:ilvl w:val="0"/>
          <w:numId w:val="2"/>
        </w:numPr>
        <w:spacing w:before="200"/>
        <w:rPr>
          <w:rFonts w:eastAsiaTheme="minorEastAsia"/>
        </w:rPr>
      </w:pPr>
      <w:hyperlink r:id="rId17" w:history="1">
        <w:r w:rsidR="00105EDC" w:rsidRPr="00105EDC">
          <w:rPr>
            <w:rStyle w:val="Hyperlink"/>
            <w:rFonts w:eastAsiaTheme="minorEastAsia"/>
          </w:rPr>
          <w:t>PM’s decision on rule relaxation is ‘incredibly concerning’ and fails to protect people’s health</w:t>
        </w:r>
      </w:hyperlink>
      <w:r w:rsidR="00105EDC">
        <w:rPr>
          <w:rFonts w:eastAsiaTheme="minorEastAsia"/>
        </w:rPr>
        <w:t xml:space="preserve"> | BMA</w:t>
      </w:r>
    </w:p>
    <w:p w:rsidR="0005368D" w:rsidRPr="0005368D" w:rsidRDefault="00FB2FFA" w:rsidP="004E57C5">
      <w:pPr>
        <w:pStyle w:val="ListParagraph"/>
        <w:numPr>
          <w:ilvl w:val="0"/>
          <w:numId w:val="2"/>
        </w:numPr>
        <w:spacing w:before="200"/>
        <w:rPr>
          <w:rFonts w:eastAsiaTheme="minorEastAsia"/>
        </w:rPr>
      </w:pPr>
      <w:hyperlink r:id="rId18" w:history="1">
        <w:r w:rsidR="00E72425" w:rsidRPr="0005368D">
          <w:rPr>
            <w:rStyle w:val="Hyperlink"/>
            <w:rFonts w:eastAsiaTheme="minorEastAsia"/>
          </w:rPr>
          <w:t>Why England’s COVID ‘freedom day’ alarms researchers</w:t>
        </w:r>
      </w:hyperlink>
      <w:r w:rsidR="00E72425" w:rsidRPr="0005368D">
        <w:rPr>
          <w:rFonts w:eastAsiaTheme="minorEastAsia"/>
        </w:rPr>
        <w:t xml:space="preserve"> | Nature</w:t>
      </w:r>
      <w:r w:rsidR="0005368D">
        <w:rPr>
          <w:rFonts w:eastAsiaTheme="minorEastAsia"/>
        </w:rPr>
        <w:br/>
      </w:r>
    </w:p>
    <w:p w:rsidR="0005368D" w:rsidRDefault="0005368D" w:rsidP="0005368D">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F37E44">
        <w:rPr>
          <w:rFonts w:eastAsiaTheme="minorEastAsia"/>
          <w:caps/>
          <w:spacing w:val="15"/>
        </w:rPr>
        <w:t>NHS Patients, staff and visitors must continue to wear face coverings in healthcare settings</w:t>
      </w:r>
    </w:p>
    <w:p w:rsidR="0005368D" w:rsidRDefault="0005368D" w:rsidP="0005368D">
      <w:pPr>
        <w:spacing w:before="200"/>
        <w:rPr>
          <w:rFonts w:eastAsiaTheme="minorEastAsia"/>
        </w:rPr>
      </w:pPr>
      <w:r>
        <w:rPr>
          <w:rFonts w:eastAsiaTheme="minorEastAsia"/>
        </w:rPr>
        <w:t>NHS England | 15</w:t>
      </w:r>
      <w:r w:rsidRPr="00F37E44">
        <w:rPr>
          <w:rFonts w:eastAsiaTheme="minorEastAsia"/>
          <w:vertAlign w:val="superscript"/>
        </w:rPr>
        <w:t>th</w:t>
      </w:r>
      <w:r>
        <w:rPr>
          <w:rFonts w:eastAsiaTheme="minorEastAsia"/>
        </w:rPr>
        <w:t xml:space="preserve"> July 2021</w:t>
      </w:r>
    </w:p>
    <w:p w:rsidR="0005368D" w:rsidRPr="00F37E44" w:rsidRDefault="0005368D" w:rsidP="0005368D">
      <w:pPr>
        <w:spacing w:before="200"/>
        <w:rPr>
          <w:rFonts w:eastAsiaTheme="minorEastAsia"/>
        </w:rPr>
      </w:pPr>
      <w:r w:rsidRPr="00F37E44">
        <w:rPr>
          <w:rFonts w:eastAsiaTheme="minorEastAsia"/>
          <w:bCs/>
        </w:rPr>
        <w:t>England’s Chief Nurse has reminded the public that everyone accessing or visiting healthcare settings must continue to wear a face covering and follow social distancing rules.</w:t>
      </w:r>
      <w:r>
        <w:rPr>
          <w:rFonts w:eastAsiaTheme="minorEastAsia"/>
          <w:bCs/>
        </w:rPr>
        <w:t xml:space="preserve"> </w:t>
      </w:r>
      <w:r w:rsidRPr="00F37E44">
        <w:rPr>
          <w:rFonts w:eastAsiaTheme="minorEastAsia"/>
        </w:rPr>
        <w:t>Covid restrictions will end in many settings in England from Monday.</w:t>
      </w:r>
    </w:p>
    <w:p w:rsidR="0005368D" w:rsidRPr="00F37E44" w:rsidRDefault="0005368D" w:rsidP="0005368D">
      <w:pPr>
        <w:spacing w:before="200"/>
        <w:rPr>
          <w:rFonts w:eastAsiaTheme="minorEastAsia"/>
        </w:rPr>
      </w:pPr>
      <w:r w:rsidRPr="00F37E44">
        <w:rPr>
          <w:rFonts w:eastAsiaTheme="minorEastAsia"/>
        </w:rPr>
        <w:t>However, Public Health England’s infection prevention control guidelines and hospital visiting guidance are set to remain in place for all staff and visitors.</w:t>
      </w:r>
    </w:p>
    <w:p w:rsidR="0005368D" w:rsidRPr="00F37E44" w:rsidRDefault="0005368D" w:rsidP="0005368D">
      <w:pPr>
        <w:spacing w:before="200"/>
        <w:rPr>
          <w:rFonts w:eastAsiaTheme="minorEastAsia"/>
        </w:rPr>
      </w:pPr>
      <w:r w:rsidRPr="00F37E44">
        <w:rPr>
          <w:rFonts w:eastAsiaTheme="minorEastAsia"/>
        </w:rPr>
        <w:t>That means NHS visitor guidance will stay in place across all health services including hospitals, GP practices, dental practices, optometrists and pharmacies to ensure patients and staff are protected.</w:t>
      </w:r>
    </w:p>
    <w:p w:rsidR="0005368D" w:rsidRPr="00F37E44" w:rsidRDefault="0005368D" w:rsidP="0005368D">
      <w:pPr>
        <w:spacing w:before="200"/>
        <w:rPr>
          <w:rFonts w:eastAsiaTheme="minorEastAsia"/>
        </w:rPr>
      </w:pPr>
      <w:r w:rsidRPr="00F37E44">
        <w:rPr>
          <w:rFonts w:eastAsiaTheme="minorEastAsia"/>
        </w:rPr>
        <w:t>Staff, patients and visitors will also be expected to continue to follow social distancing rules when visiting any care setting as well as using face coverings, mask and other personal protection equipment.</w:t>
      </w:r>
    </w:p>
    <w:p w:rsidR="0005368D" w:rsidRDefault="0005368D" w:rsidP="0005368D">
      <w:pPr>
        <w:spacing w:before="200"/>
        <w:rPr>
          <w:rFonts w:eastAsiaTheme="minorEastAsia"/>
        </w:rPr>
      </w:pPr>
      <w:r>
        <w:rPr>
          <w:rFonts w:eastAsiaTheme="minorEastAsia"/>
        </w:rPr>
        <w:t xml:space="preserve">Full detail: </w:t>
      </w:r>
      <w:hyperlink r:id="rId19" w:history="1">
        <w:r w:rsidRPr="00F37E44">
          <w:rPr>
            <w:rStyle w:val="Hyperlink"/>
            <w:rFonts w:eastAsiaTheme="minorEastAsia"/>
          </w:rPr>
          <w:t>NHS Patients, staff and visitors must continue to wear face coverings in healthcare settings</w:t>
        </w:r>
      </w:hyperlink>
    </w:p>
    <w:p w:rsidR="0005368D" w:rsidRPr="00F37E44" w:rsidRDefault="0005368D" w:rsidP="0005368D">
      <w:pPr>
        <w:spacing w:before="200"/>
        <w:rPr>
          <w:rFonts w:eastAsiaTheme="minorEastAsia"/>
        </w:rPr>
      </w:pPr>
      <w:r>
        <w:rPr>
          <w:rFonts w:eastAsiaTheme="minorEastAsia"/>
        </w:rPr>
        <w:t xml:space="preserve">See also: </w:t>
      </w:r>
      <w:hyperlink r:id="rId20" w:history="1">
        <w:r w:rsidRPr="00F37E44">
          <w:rPr>
            <w:rStyle w:val="Hyperlink"/>
            <w:rFonts w:eastAsiaTheme="minorEastAsia"/>
          </w:rPr>
          <w:t>Face coverings and social distancing to remain in place in NHS settings</w:t>
        </w:r>
      </w:hyperlink>
      <w:r>
        <w:rPr>
          <w:rFonts w:eastAsiaTheme="minorEastAsia"/>
        </w:rPr>
        <w:t xml:space="preserve"> | NHS Employers</w:t>
      </w:r>
    </w:p>
    <w:p w:rsidR="0005368D" w:rsidRPr="0005368D" w:rsidRDefault="0005368D" w:rsidP="0005368D">
      <w:pPr>
        <w:spacing w:before="200"/>
        <w:rPr>
          <w:rFonts w:eastAsiaTheme="minorEastAsia"/>
        </w:rPr>
      </w:pPr>
    </w:p>
    <w:p w:rsidR="00312B4D" w:rsidRPr="00312B4D" w:rsidRDefault="00312B4D" w:rsidP="00312B4D">
      <w:pPr>
        <w:pBdr>
          <w:top w:val="single" w:sz="6" w:space="2" w:color="D4802C"/>
          <w:left w:val="single" w:sz="6" w:space="2" w:color="D4802C"/>
        </w:pBdr>
        <w:spacing w:before="300"/>
        <w:outlineLvl w:val="2"/>
        <w:rPr>
          <w:rFonts w:ascii="Calibri" w:eastAsia="Times New Roman" w:hAnsi="Calibri" w:cs="Times New Roman"/>
        </w:rPr>
      </w:pPr>
      <w:r w:rsidRPr="00312B4D">
        <w:rPr>
          <w:rFonts w:ascii="Calibri" w:eastAsia="Times New Roman" w:hAnsi="Calibri" w:cs="Times New Roman"/>
          <w:b/>
          <w:caps/>
          <w:spacing w:val="15"/>
        </w:rPr>
        <w:t>Title:</w:t>
      </w:r>
      <w:r w:rsidRPr="00312B4D">
        <w:rPr>
          <w:rFonts w:ascii="Calibri" w:eastAsia="Times New Roman" w:hAnsi="Calibri" w:cs="Times New Roman"/>
          <w:caps/>
          <w:spacing w:val="15"/>
        </w:rPr>
        <w:t xml:space="preserve"> Doctors warn of “disconnect” between NHS pressure and lifting of restrictions</w:t>
      </w:r>
    </w:p>
    <w:p w:rsidR="00312B4D" w:rsidRPr="00312B4D" w:rsidRDefault="00312B4D" w:rsidP="00312B4D">
      <w:pPr>
        <w:spacing w:before="200"/>
        <w:rPr>
          <w:rFonts w:ascii="Calibri" w:eastAsia="Times New Roman" w:hAnsi="Calibri" w:cs="Times New Roman"/>
          <w:bCs/>
        </w:rPr>
      </w:pPr>
      <w:r w:rsidRPr="00312B4D">
        <w:rPr>
          <w:rFonts w:ascii="Calibri" w:eastAsia="Times New Roman" w:hAnsi="Calibri" w:cs="Times New Roman"/>
          <w:bCs/>
        </w:rPr>
        <w:t>BMJ | 2021; 374: n1762 | 12</w:t>
      </w:r>
      <w:r w:rsidRPr="00312B4D">
        <w:rPr>
          <w:rFonts w:ascii="Calibri" w:eastAsia="Times New Roman" w:hAnsi="Calibri" w:cs="Times New Roman"/>
          <w:bCs/>
          <w:vertAlign w:val="superscript"/>
        </w:rPr>
        <w:t>th</w:t>
      </w:r>
      <w:r w:rsidRPr="00312B4D">
        <w:rPr>
          <w:rFonts w:ascii="Calibri" w:eastAsia="Times New Roman" w:hAnsi="Calibri" w:cs="Times New Roman"/>
          <w:bCs/>
        </w:rPr>
        <w:t xml:space="preserve"> July 2021</w:t>
      </w:r>
    </w:p>
    <w:p w:rsidR="00312B4D" w:rsidRPr="00312B4D" w:rsidRDefault="00312B4D" w:rsidP="00312B4D">
      <w:pPr>
        <w:spacing w:before="200"/>
        <w:rPr>
          <w:rFonts w:ascii="Calibri" w:eastAsia="Times New Roman" w:hAnsi="Calibri" w:cs="Times New Roman"/>
          <w:bCs/>
        </w:rPr>
      </w:pPr>
      <w:r w:rsidRPr="00312B4D">
        <w:rPr>
          <w:rFonts w:ascii="Calibri" w:eastAsia="Times New Roman" w:hAnsi="Calibri" w:cs="Times New Roman"/>
          <w:bCs/>
        </w:rPr>
        <w:t>The number of patients waiting for treatment through the NHS in England exceeded 5.3 million at the end of May 2021, with more than 330 000 patients waiting more than 52 weeks, new figures show.</w:t>
      </w:r>
    </w:p>
    <w:p w:rsidR="00312B4D" w:rsidRPr="00312B4D" w:rsidRDefault="00312B4D" w:rsidP="00312B4D">
      <w:pPr>
        <w:spacing w:before="200"/>
        <w:rPr>
          <w:rFonts w:ascii="Calibri" w:eastAsia="Times New Roman" w:hAnsi="Calibri" w:cs="Times New Roman"/>
          <w:bCs/>
        </w:rPr>
      </w:pPr>
      <w:r w:rsidRPr="00312B4D">
        <w:rPr>
          <w:rFonts w:ascii="Calibri" w:eastAsia="Times New Roman" w:hAnsi="Calibri" w:cs="Times New Roman"/>
          <w:bCs/>
        </w:rPr>
        <w:t>The latest data, released by NHS England, reported that 67.4% of the patients waiting to start treatment at the end of May waited up to 18 weeks.</w:t>
      </w:r>
    </w:p>
    <w:p w:rsidR="00312B4D" w:rsidRPr="00312B4D" w:rsidRDefault="00312B4D" w:rsidP="00312B4D">
      <w:pPr>
        <w:spacing w:before="200"/>
        <w:rPr>
          <w:rFonts w:ascii="Calibri" w:eastAsia="Times New Roman" w:hAnsi="Calibri" w:cs="Times New Roman"/>
          <w:bCs/>
        </w:rPr>
      </w:pPr>
      <w:r w:rsidRPr="00312B4D">
        <w:rPr>
          <w:rFonts w:ascii="Calibri" w:eastAsia="Times New Roman" w:hAnsi="Calibri" w:cs="Times New Roman"/>
          <w:bCs/>
        </w:rPr>
        <w:t>Medical leaders have said the figures highlighted the “disconnect” between what doctors and healthcare professionals were currently experiencing and the government’s decision to lift all covid-19 restrictions on 19 July.</w:t>
      </w:r>
    </w:p>
    <w:p w:rsidR="00312B4D" w:rsidRPr="00312B4D" w:rsidRDefault="00312B4D" w:rsidP="00312B4D">
      <w:pPr>
        <w:spacing w:before="200"/>
        <w:rPr>
          <w:rFonts w:ascii="Calibri" w:eastAsia="Times New Roman" w:hAnsi="Calibri" w:cs="Times New Roman"/>
          <w:bCs/>
        </w:rPr>
      </w:pPr>
      <w:r w:rsidRPr="00312B4D">
        <w:rPr>
          <w:rFonts w:ascii="Calibri" w:eastAsia="Times New Roman" w:hAnsi="Calibri" w:cs="Times New Roman"/>
          <w:bCs/>
        </w:rPr>
        <w:t>Simon Walsh, deputy chair of the BMA’s Consultants Committee, said, “The link between infections and hospitalisations has been weakened but not been broken, so right now there needs to be time to allow the NHS to tackle the waiting lists, support those patients who need the most urgent care, and prevent a catastrophic third wave of covid-19.”</w:t>
      </w:r>
    </w:p>
    <w:p w:rsidR="00312B4D" w:rsidRPr="00312B4D" w:rsidRDefault="00312B4D" w:rsidP="00312B4D">
      <w:pPr>
        <w:spacing w:before="200"/>
        <w:rPr>
          <w:rFonts w:ascii="Calibri" w:eastAsia="Times New Roman" w:hAnsi="Calibri" w:cs="Times New Roman"/>
          <w:bCs/>
        </w:rPr>
      </w:pPr>
      <w:r w:rsidRPr="00312B4D">
        <w:rPr>
          <w:rFonts w:ascii="Calibri" w:eastAsia="Times New Roman" w:hAnsi="Calibri" w:cs="Times New Roman"/>
          <w:bCs/>
        </w:rPr>
        <w:t xml:space="preserve">Full detail: </w:t>
      </w:r>
      <w:hyperlink r:id="rId21" w:history="1">
        <w:r w:rsidRPr="00312B4D">
          <w:rPr>
            <w:rFonts w:ascii="Calibri" w:eastAsia="Times New Roman" w:hAnsi="Calibri" w:cs="Times New Roman"/>
            <w:bCs/>
            <w:color w:val="0000FF" w:themeColor="hyperlink"/>
            <w:u w:val="single"/>
          </w:rPr>
          <w:t>Doctors warn of “disconnect” between NHS pressure and lifting of restrictions</w:t>
        </w:r>
      </w:hyperlink>
    </w:p>
    <w:p w:rsidR="00312B4D" w:rsidRPr="00312B4D" w:rsidRDefault="00312B4D" w:rsidP="00312B4D">
      <w:pPr>
        <w:spacing w:before="200"/>
        <w:rPr>
          <w:rFonts w:ascii="Calibri" w:eastAsia="Times New Roman" w:hAnsi="Calibri" w:cs="Times New Roman"/>
          <w:bCs/>
        </w:rPr>
      </w:pPr>
      <w:r w:rsidRPr="00312B4D">
        <w:rPr>
          <w:rFonts w:ascii="Calibri" w:eastAsia="Times New Roman" w:hAnsi="Calibri" w:cs="Times New Roman"/>
          <w:bCs/>
        </w:rPr>
        <w:t xml:space="preserve">Related: </w:t>
      </w:r>
      <w:hyperlink r:id="rId22" w:history="1">
        <w:r w:rsidRPr="00312B4D">
          <w:rPr>
            <w:rFonts w:ascii="Calibri" w:eastAsia="Times New Roman" w:hAnsi="Calibri" w:cs="Times New Roman"/>
            <w:bCs/>
            <w:color w:val="0000FF" w:themeColor="hyperlink"/>
            <w:u w:val="single"/>
          </w:rPr>
          <w:t>Statistical press notice: NHS referral to treatment (RTT) waiting times data. May 2021</w:t>
        </w:r>
      </w:hyperlink>
      <w:r w:rsidRPr="00312B4D">
        <w:rPr>
          <w:rFonts w:ascii="Calibri" w:eastAsia="Times New Roman" w:hAnsi="Calibri" w:cs="Times New Roman"/>
          <w:bCs/>
        </w:rPr>
        <w:t xml:space="preserve"> | NHS England and NHS Improvement.</w:t>
      </w:r>
      <w:r>
        <w:rPr>
          <w:rFonts w:ascii="Calibri" w:eastAsia="Times New Roman" w:hAnsi="Calibri" w:cs="Times New Roman"/>
          <w:bCs/>
        </w:rPr>
        <w:br/>
      </w:r>
    </w:p>
    <w:p w:rsidR="00312B4D" w:rsidRPr="00312B4D" w:rsidRDefault="00312B4D" w:rsidP="00312B4D">
      <w:pPr>
        <w:pBdr>
          <w:top w:val="single" w:sz="6" w:space="2" w:color="D4802C"/>
          <w:left w:val="single" w:sz="6" w:space="2" w:color="D4802C"/>
        </w:pBdr>
        <w:spacing w:before="300"/>
        <w:outlineLvl w:val="2"/>
        <w:rPr>
          <w:rFonts w:ascii="Calibri" w:eastAsia="Times New Roman" w:hAnsi="Calibri" w:cs="Times New Roman"/>
        </w:rPr>
      </w:pPr>
      <w:r w:rsidRPr="00312B4D">
        <w:rPr>
          <w:rFonts w:ascii="Calibri" w:eastAsia="Times New Roman" w:hAnsi="Calibri" w:cs="Times New Roman"/>
          <w:b/>
          <w:caps/>
          <w:spacing w:val="15"/>
        </w:rPr>
        <w:t>Title:</w:t>
      </w:r>
      <w:r w:rsidRPr="00312B4D">
        <w:rPr>
          <w:rFonts w:ascii="Calibri" w:eastAsia="Times New Roman" w:hAnsi="Calibri" w:cs="Times New Roman"/>
          <w:caps/>
          <w:spacing w:val="15"/>
        </w:rPr>
        <w:t xml:space="preserve"> Free rapid testing may end once most adults are fully vaccinated</w:t>
      </w:r>
    </w:p>
    <w:p w:rsidR="00312B4D" w:rsidRPr="00312B4D" w:rsidRDefault="00312B4D" w:rsidP="00312B4D">
      <w:pPr>
        <w:spacing w:before="200"/>
        <w:rPr>
          <w:rFonts w:ascii="Calibri" w:eastAsia="Times New Roman" w:hAnsi="Calibri" w:cs="Times New Roman"/>
        </w:rPr>
      </w:pPr>
      <w:r w:rsidRPr="00312B4D">
        <w:rPr>
          <w:rFonts w:ascii="Calibri" w:eastAsia="Times New Roman" w:hAnsi="Calibri" w:cs="Times New Roman"/>
        </w:rPr>
        <w:t>BMJ | 2021; 374: n1760 | 9</w:t>
      </w:r>
      <w:r w:rsidRPr="00312B4D">
        <w:rPr>
          <w:rFonts w:ascii="Calibri" w:eastAsia="Times New Roman" w:hAnsi="Calibri" w:cs="Times New Roman"/>
          <w:vertAlign w:val="superscript"/>
        </w:rPr>
        <w:t>th</w:t>
      </w:r>
      <w:r w:rsidRPr="00312B4D">
        <w:rPr>
          <w:rFonts w:ascii="Calibri" w:eastAsia="Times New Roman" w:hAnsi="Calibri" w:cs="Times New Roman"/>
        </w:rPr>
        <w:t xml:space="preserve"> July 2021</w:t>
      </w:r>
    </w:p>
    <w:p w:rsidR="00312B4D" w:rsidRPr="00312B4D" w:rsidRDefault="00312B4D" w:rsidP="00312B4D">
      <w:pPr>
        <w:spacing w:before="200"/>
        <w:rPr>
          <w:rFonts w:ascii="Calibri" w:eastAsia="Times New Roman" w:hAnsi="Calibri" w:cs="Times New Roman"/>
        </w:rPr>
      </w:pPr>
      <w:r w:rsidRPr="00312B4D">
        <w:rPr>
          <w:rFonts w:ascii="Calibri" w:eastAsia="Times New Roman" w:hAnsi="Calibri" w:cs="Times New Roman"/>
        </w:rPr>
        <w:t>Free lateral flow tests will be available until the end of August, but it has yet to be determined whether they will continue to have a role once most adults are fully vaccinated, the head of the agency responsible for health protection in the UK has said.</w:t>
      </w:r>
    </w:p>
    <w:p w:rsidR="00312B4D" w:rsidRPr="00312B4D" w:rsidRDefault="00312B4D" w:rsidP="00312B4D">
      <w:pPr>
        <w:spacing w:before="200"/>
        <w:rPr>
          <w:rFonts w:ascii="Calibri" w:eastAsia="Times New Roman" w:hAnsi="Calibri" w:cs="Times New Roman"/>
        </w:rPr>
      </w:pPr>
      <w:r w:rsidRPr="00312B4D">
        <w:rPr>
          <w:rFonts w:ascii="Calibri" w:eastAsia="Times New Roman" w:hAnsi="Calibri" w:cs="Times New Roman"/>
        </w:rPr>
        <w:t>Currently, all adults and secondary school pupils are encouraged to use the rapid tests on themselves at home twice a week. Although not as accurate as polymerase chain reaction tests, lateral flow devices are able to pick up some asymptomatic cases and potentially those that are most infectious, as they detect cases with the highest viral loads.</w:t>
      </w:r>
    </w:p>
    <w:p w:rsidR="00312B4D" w:rsidRPr="00312B4D" w:rsidRDefault="00312B4D" w:rsidP="00312B4D">
      <w:pPr>
        <w:spacing w:before="200"/>
        <w:rPr>
          <w:rFonts w:ascii="Calibri" w:eastAsia="Times New Roman" w:hAnsi="Calibri" w:cs="Times New Roman"/>
        </w:rPr>
      </w:pPr>
      <w:r w:rsidRPr="00312B4D">
        <w:rPr>
          <w:rFonts w:ascii="Calibri" w:eastAsia="Times New Roman" w:hAnsi="Calibri" w:cs="Times New Roman"/>
        </w:rPr>
        <w:t>Jenny Harries, chief executive of the UK Health Security Agency, which recently took over the responsibilities of Public Health England and NHS Test and Trace, said that the free tests would be available for adults until at least the end of August and for schoolchildren until at least the end of September.</w:t>
      </w:r>
    </w:p>
    <w:p w:rsidR="00BE1AC6" w:rsidRDefault="00312B4D" w:rsidP="00312B4D">
      <w:pPr>
        <w:spacing w:before="200"/>
        <w:rPr>
          <w:rFonts w:ascii="Calibri" w:eastAsia="Times New Roman" w:hAnsi="Calibri" w:cs="Times New Roman"/>
          <w:color w:val="0000FF" w:themeColor="hyperlink"/>
          <w:u w:val="single"/>
        </w:rPr>
      </w:pPr>
      <w:r w:rsidRPr="00312B4D">
        <w:rPr>
          <w:rFonts w:ascii="Calibri" w:eastAsia="Times New Roman" w:hAnsi="Calibri" w:cs="Times New Roman"/>
        </w:rPr>
        <w:t xml:space="preserve">Full detail: </w:t>
      </w:r>
      <w:hyperlink r:id="rId23" w:history="1">
        <w:r w:rsidRPr="00312B4D">
          <w:rPr>
            <w:rFonts w:ascii="Calibri" w:eastAsia="Times New Roman" w:hAnsi="Calibri" w:cs="Times New Roman"/>
            <w:color w:val="0000FF" w:themeColor="hyperlink"/>
            <w:u w:val="single"/>
          </w:rPr>
          <w:t>Free rapid testing may end once most adults are fully vaccinated</w:t>
        </w:r>
      </w:hyperlink>
      <w:r w:rsidR="00BE1AC6">
        <w:rPr>
          <w:rFonts w:ascii="Calibri" w:eastAsia="Times New Roman" w:hAnsi="Calibri" w:cs="Times New Roman"/>
          <w:color w:val="0000FF" w:themeColor="hyperlink"/>
          <w:u w:val="single"/>
        </w:rPr>
        <w:br/>
      </w:r>
    </w:p>
    <w:p w:rsidR="00BE1AC6" w:rsidRDefault="00BE1AC6" w:rsidP="00BE1AC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130BBA">
        <w:rPr>
          <w:rFonts w:eastAsiaTheme="minorEastAsia"/>
          <w:caps/>
          <w:spacing w:val="15"/>
        </w:rPr>
        <w:t>New megalab opens to bolster fight against COVID-19</w:t>
      </w:r>
    </w:p>
    <w:p w:rsidR="00BE1AC6" w:rsidRDefault="00BE1AC6" w:rsidP="00BE1AC6">
      <w:pPr>
        <w:spacing w:before="200"/>
        <w:rPr>
          <w:rFonts w:eastAsiaTheme="minorEastAsia"/>
        </w:rPr>
      </w:pPr>
      <w:r w:rsidRPr="00130BBA">
        <w:rPr>
          <w:rFonts w:eastAsiaTheme="minorEastAsia"/>
        </w:rPr>
        <w:t>Depar</w:t>
      </w:r>
      <w:r>
        <w:rPr>
          <w:rFonts w:eastAsiaTheme="minorEastAsia"/>
        </w:rPr>
        <w:t>tment of Health and Social Care | 13</w:t>
      </w:r>
      <w:r w:rsidRPr="00130BBA">
        <w:rPr>
          <w:rFonts w:eastAsiaTheme="minorEastAsia"/>
          <w:vertAlign w:val="superscript"/>
        </w:rPr>
        <w:t>th</w:t>
      </w:r>
      <w:r>
        <w:rPr>
          <w:rFonts w:eastAsiaTheme="minorEastAsia"/>
        </w:rPr>
        <w:t xml:space="preserve"> July 2021</w:t>
      </w:r>
    </w:p>
    <w:p w:rsidR="00BE1AC6" w:rsidRPr="00130BBA" w:rsidRDefault="00BE1AC6" w:rsidP="00BE1AC6">
      <w:pPr>
        <w:spacing w:before="200"/>
        <w:rPr>
          <w:rFonts w:eastAsiaTheme="minorEastAsia"/>
        </w:rPr>
      </w:pPr>
      <w:r w:rsidRPr="00130BBA">
        <w:rPr>
          <w:rFonts w:eastAsiaTheme="minorEastAsia"/>
        </w:rPr>
        <w:t>The UK’s first testing megalab – the Rosalind Franklin laboratory in Royal Leamington Spa has opened and will be processing hundreds of thousands of COVID-19 samples every day to rapidly detect new variants and help stop the spread of the virus.</w:t>
      </w:r>
    </w:p>
    <w:p w:rsidR="00BE1AC6" w:rsidRDefault="00BE1AC6" w:rsidP="00BE1AC6">
      <w:pPr>
        <w:spacing w:before="200"/>
        <w:rPr>
          <w:rFonts w:eastAsiaTheme="minorEastAsia"/>
        </w:rPr>
      </w:pPr>
      <w:r w:rsidRPr="00130BBA">
        <w:rPr>
          <w:rFonts w:eastAsiaTheme="minorEastAsia"/>
        </w:rPr>
        <w:t>As part of the UK’s NHS Test and Trace network, the laboratory is the biggest of its kind in the UK and will use cutting-edge technology to process even more tests and adopt the pioneering new genotype assay testing to quickly identify variants of concern and new mutations</w:t>
      </w:r>
      <w:r>
        <w:rPr>
          <w:rFonts w:eastAsiaTheme="minorEastAsia"/>
        </w:rPr>
        <w:t>.</w:t>
      </w:r>
    </w:p>
    <w:p w:rsidR="00BE1AC6" w:rsidRDefault="00BE1AC6" w:rsidP="00312B4D">
      <w:pPr>
        <w:spacing w:before="200"/>
        <w:rPr>
          <w:rFonts w:ascii="Calibri" w:eastAsia="Times New Roman" w:hAnsi="Calibri" w:cs="Times New Roman"/>
          <w:color w:val="0000FF" w:themeColor="hyperlink"/>
          <w:u w:val="single"/>
        </w:rPr>
      </w:pPr>
      <w:r>
        <w:rPr>
          <w:rFonts w:eastAsiaTheme="minorEastAsia"/>
        </w:rPr>
        <w:t xml:space="preserve">Full detail: </w:t>
      </w:r>
      <w:hyperlink r:id="rId24" w:history="1">
        <w:r w:rsidRPr="00130BBA">
          <w:rPr>
            <w:rStyle w:val="Hyperlink"/>
            <w:rFonts w:eastAsiaTheme="minorEastAsia"/>
          </w:rPr>
          <w:t>New megalab opens to bolster fight against COVID-19</w:t>
        </w:r>
      </w:hyperlink>
      <w:r>
        <w:rPr>
          <w:rStyle w:val="Hyperlink"/>
          <w:rFonts w:eastAsiaTheme="minorEastAsia"/>
        </w:rPr>
        <w:br/>
      </w:r>
    </w:p>
    <w:p w:rsidR="00106DF8" w:rsidRDefault="00106DF8" w:rsidP="00E023EF">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E023EF" w:rsidRPr="00E023EF">
        <w:rPr>
          <w:rFonts w:eastAsiaTheme="minorEastAsia"/>
          <w:caps/>
          <w:spacing w:val="15"/>
        </w:rPr>
        <w:t>COVID-19: Preparing for the</w:t>
      </w:r>
      <w:r w:rsidR="00E023EF">
        <w:rPr>
          <w:rFonts w:eastAsiaTheme="minorEastAsia"/>
          <w:caps/>
          <w:spacing w:val="15"/>
        </w:rPr>
        <w:t xml:space="preserve"> </w:t>
      </w:r>
      <w:r w:rsidR="00E023EF" w:rsidRPr="00E023EF">
        <w:rPr>
          <w:rFonts w:eastAsiaTheme="minorEastAsia"/>
          <w:caps/>
          <w:spacing w:val="15"/>
        </w:rPr>
        <w:t>future</w:t>
      </w:r>
      <w:r w:rsidR="00E023EF">
        <w:rPr>
          <w:rFonts w:eastAsiaTheme="minorEastAsia"/>
          <w:caps/>
          <w:spacing w:val="15"/>
        </w:rPr>
        <w:t xml:space="preserve">. </w:t>
      </w:r>
      <w:r w:rsidR="00E023EF" w:rsidRPr="00E023EF">
        <w:rPr>
          <w:rFonts w:eastAsiaTheme="minorEastAsia"/>
          <w:caps/>
          <w:spacing w:val="15"/>
        </w:rPr>
        <w:t>Looking ahead to winter 2021/22</w:t>
      </w:r>
      <w:r w:rsidR="00E023EF">
        <w:rPr>
          <w:rFonts w:eastAsiaTheme="minorEastAsia"/>
          <w:caps/>
          <w:spacing w:val="15"/>
        </w:rPr>
        <w:t xml:space="preserve"> </w:t>
      </w:r>
      <w:r w:rsidR="00E023EF" w:rsidRPr="00E023EF">
        <w:rPr>
          <w:rFonts w:eastAsiaTheme="minorEastAsia"/>
          <w:caps/>
          <w:spacing w:val="15"/>
        </w:rPr>
        <w:t>and beyond</w:t>
      </w:r>
    </w:p>
    <w:p w:rsidR="00106DF8" w:rsidRDefault="001C0189" w:rsidP="00106DF8">
      <w:pPr>
        <w:spacing w:before="200"/>
        <w:rPr>
          <w:rFonts w:eastAsiaTheme="minorEastAsia"/>
        </w:rPr>
      </w:pPr>
      <w:r w:rsidRPr="001C0189">
        <w:rPr>
          <w:rFonts w:eastAsiaTheme="minorEastAsia"/>
        </w:rPr>
        <w:t>Academy of Medical Sciences</w:t>
      </w:r>
      <w:r>
        <w:rPr>
          <w:rFonts w:eastAsiaTheme="minorEastAsia"/>
        </w:rPr>
        <w:t xml:space="preserve"> | 15</w:t>
      </w:r>
      <w:r w:rsidRPr="001C0189">
        <w:rPr>
          <w:rFonts w:eastAsiaTheme="minorEastAsia"/>
          <w:vertAlign w:val="superscript"/>
        </w:rPr>
        <w:t>th</w:t>
      </w:r>
      <w:r>
        <w:rPr>
          <w:rFonts w:eastAsiaTheme="minorEastAsia"/>
        </w:rPr>
        <w:t xml:space="preserve"> July 2021</w:t>
      </w:r>
    </w:p>
    <w:p w:rsidR="001C0189" w:rsidRPr="001C0189" w:rsidRDefault="001C0189" w:rsidP="001C0189">
      <w:pPr>
        <w:spacing w:before="200"/>
        <w:rPr>
          <w:rFonts w:eastAsiaTheme="minorEastAsia"/>
        </w:rPr>
      </w:pPr>
      <w:r w:rsidRPr="001C0189">
        <w:rPr>
          <w:rFonts w:eastAsiaTheme="minorEastAsia"/>
        </w:rPr>
        <w:t>A lethal triple mix of COVID-19, influenza, and the respiratory virus Respiratory Syncytial Virus (RSV), could push an already depleted NHS to breaking point this winter unless we act now, says a new r</w:t>
      </w:r>
      <w:r>
        <w:rPr>
          <w:rFonts w:eastAsiaTheme="minorEastAsia"/>
        </w:rPr>
        <w:t>eport.</w:t>
      </w:r>
    </w:p>
    <w:p w:rsidR="001C0189" w:rsidRPr="001C0189" w:rsidRDefault="001C0189" w:rsidP="001C0189">
      <w:pPr>
        <w:spacing w:before="200"/>
        <w:rPr>
          <w:rFonts w:eastAsiaTheme="minorEastAsia"/>
        </w:rPr>
      </w:pPr>
      <w:r w:rsidRPr="001C0189">
        <w:rPr>
          <w:rFonts w:eastAsiaTheme="minorEastAsia"/>
        </w:rPr>
        <w:t>The report from the Academy of Medical Sciences brought together 29 leading experts alon</w:t>
      </w:r>
      <w:r>
        <w:rPr>
          <w:rFonts w:eastAsiaTheme="minorEastAsia"/>
        </w:rPr>
        <w:t>gside 57 members of the public</w:t>
      </w:r>
      <w:r w:rsidRPr="001C0189">
        <w:rPr>
          <w:rFonts w:eastAsiaTheme="minorEastAsia"/>
        </w:rPr>
        <w:t xml:space="preserve"> at the request of the Government Chief Scientific Adviser to forecast the greatest risks to health this winter. They include:</w:t>
      </w:r>
    </w:p>
    <w:p w:rsidR="001C0189" w:rsidRPr="001C0189" w:rsidRDefault="001C0189" w:rsidP="00D30D2A">
      <w:pPr>
        <w:numPr>
          <w:ilvl w:val="0"/>
          <w:numId w:val="1"/>
        </w:numPr>
        <w:spacing w:before="200"/>
        <w:rPr>
          <w:rFonts w:eastAsiaTheme="minorEastAsia"/>
        </w:rPr>
      </w:pPr>
      <w:r w:rsidRPr="001C0189">
        <w:rPr>
          <w:rFonts w:eastAsiaTheme="minorEastAsia"/>
        </w:rPr>
        <w:t>A potential surge in respiratory viruses could cause widespread ill health and put pressure on the NHS. New modelling carried out for the report suggests this winter influenza and RSV hospital admissions and deaths could be two times that of a ‘normal’ year and could coincide with an increase of COVID-19 infections, and their associated long-term consequences.</w:t>
      </w:r>
    </w:p>
    <w:p w:rsidR="001C0189" w:rsidRPr="001C0189" w:rsidRDefault="001C0189" w:rsidP="00D30D2A">
      <w:pPr>
        <w:numPr>
          <w:ilvl w:val="0"/>
          <w:numId w:val="1"/>
        </w:numPr>
        <w:spacing w:before="200"/>
        <w:rPr>
          <w:rFonts w:eastAsiaTheme="minorEastAsia"/>
        </w:rPr>
      </w:pPr>
      <w:r w:rsidRPr="001C0189">
        <w:rPr>
          <w:rFonts w:eastAsiaTheme="minorEastAsia"/>
        </w:rPr>
        <w:t>Dealing with the current third wave of COVID-19, as well as multiple subsequent outbreaks, between summer 2021 and spring 2022, meaning the NHS cannot catch up with the backlog of routine care.</w:t>
      </w:r>
    </w:p>
    <w:p w:rsidR="001C0189" w:rsidRPr="001C0189" w:rsidRDefault="001C0189" w:rsidP="00D30D2A">
      <w:pPr>
        <w:numPr>
          <w:ilvl w:val="0"/>
          <w:numId w:val="1"/>
        </w:numPr>
        <w:spacing w:before="200"/>
        <w:rPr>
          <w:rFonts w:eastAsiaTheme="minorEastAsia"/>
        </w:rPr>
      </w:pPr>
      <w:r w:rsidRPr="001C0189">
        <w:rPr>
          <w:rFonts w:eastAsiaTheme="minorEastAsia"/>
        </w:rPr>
        <w:t>The NHS is already under pressure, and so is likely to be less able to cope with extra winter health challenges. Before the pandemic, winter bed occupancy in the NHS regularly exceeded 95%. This year the NHS will also be operating with a reduced number of beds because of infection control measures. The report also highlights that the NHS is reporting a shortage of nearly 84,000 staff, and a shortage of 2,500 GPs. Staff fatigue and burnout will also be a challenge.</w:t>
      </w:r>
    </w:p>
    <w:p w:rsidR="001C0189" w:rsidRPr="00BE1AC6" w:rsidRDefault="001C0189" w:rsidP="00D30D2A">
      <w:pPr>
        <w:numPr>
          <w:ilvl w:val="0"/>
          <w:numId w:val="1"/>
        </w:numPr>
        <w:spacing w:before="200"/>
        <w:rPr>
          <w:rFonts w:eastAsiaTheme="minorEastAsia"/>
        </w:rPr>
      </w:pPr>
      <w:r w:rsidRPr="001C0189">
        <w:rPr>
          <w:rFonts w:eastAsiaTheme="minorEastAsia"/>
        </w:rPr>
        <w:t>Worse physical and mental health in the UK population – including that due to delayed diagnosis and treatment and other impacts of the pandemic – could lead to even higher rates of conditions such as asthma, COPD, heart attack and stroke this winter.</w:t>
      </w:r>
      <w:r w:rsidRPr="001C0189">
        <w:rPr>
          <w:rFonts w:ascii="Arial" w:eastAsia="Times New Roman" w:hAnsi="Arial" w:cs="Arial"/>
          <w:color w:val="000000"/>
          <w:sz w:val="26"/>
          <w:szCs w:val="26"/>
          <w:lang w:eastAsia="en-GB"/>
        </w:rPr>
        <w:t xml:space="preserve"> </w:t>
      </w:r>
    </w:p>
    <w:p w:rsidR="00BE1AC6" w:rsidRDefault="00BE1AC6" w:rsidP="00BE1AC6">
      <w:pPr>
        <w:spacing w:before="200"/>
        <w:rPr>
          <w:rFonts w:ascii="Arial" w:eastAsia="Times New Roman" w:hAnsi="Arial" w:cs="Arial"/>
          <w:color w:val="000000"/>
          <w:sz w:val="26"/>
          <w:szCs w:val="26"/>
          <w:lang w:eastAsia="en-GB"/>
        </w:rPr>
      </w:pPr>
    </w:p>
    <w:p w:rsidR="00BE1AC6" w:rsidRPr="001C0189" w:rsidRDefault="00BE1AC6" w:rsidP="00BE1AC6">
      <w:pPr>
        <w:spacing w:before="200"/>
        <w:rPr>
          <w:rFonts w:eastAsiaTheme="minorEastAsia"/>
        </w:rPr>
      </w:pPr>
    </w:p>
    <w:p w:rsidR="001C0189" w:rsidRPr="001C0189" w:rsidRDefault="001C0189" w:rsidP="001C0189">
      <w:pPr>
        <w:spacing w:before="200"/>
        <w:ind w:left="360"/>
        <w:rPr>
          <w:rFonts w:eastAsiaTheme="minorEastAsia"/>
        </w:rPr>
      </w:pPr>
      <w:r w:rsidRPr="001C0189">
        <w:rPr>
          <w:rFonts w:eastAsiaTheme="minorEastAsia"/>
        </w:rPr>
        <w:t>The report urges policy makers and the NHS to prepare now for a challenging winter, and is calling for:</w:t>
      </w:r>
    </w:p>
    <w:p w:rsidR="001C0189" w:rsidRPr="001C0189" w:rsidRDefault="001C0189" w:rsidP="00D30D2A">
      <w:pPr>
        <w:numPr>
          <w:ilvl w:val="0"/>
          <w:numId w:val="1"/>
        </w:numPr>
        <w:spacing w:before="200"/>
        <w:rPr>
          <w:rFonts w:eastAsiaTheme="minorEastAsia"/>
        </w:rPr>
      </w:pPr>
      <w:r w:rsidRPr="001C0189">
        <w:rPr>
          <w:rFonts w:eastAsiaTheme="minorEastAsia"/>
        </w:rPr>
        <w:t>Expanding COVID-19 testing to include influenza and RSV. Fast test results would allow doctors to distinguish quickly between illnesses, treat where appropriate with antivirals against flu, and spot trends.</w:t>
      </w:r>
    </w:p>
    <w:p w:rsidR="001C0189" w:rsidRPr="001C0189" w:rsidRDefault="001C0189" w:rsidP="00D30D2A">
      <w:pPr>
        <w:numPr>
          <w:ilvl w:val="0"/>
          <w:numId w:val="1"/>
        </w:numPr>
        <w:spacing w:before="200"/>
        <w:rPr>
          <w:rFonts w:eastAsiaTheme="minorEastAsia"/>
        </w:rPr>
      </w:pPr>
      <w:r w:rsidRPr="001C0189">
        <w:rPr>
          <w:rFonts w:eastAsiaTheme="minorEastAsia"/>
        </w:rPr>
        <w:t>Increasing the speed and uptake of COVID-19 vaccination now, alongside preparations for delivering booster vaccines if needed, alongside flu vaccines for everyone eligible in the autumn.</w:t>
      </w:r>
    </w:p>
    <w:p w:rsidR="001C0189" w:rsidRPr="001C0189" w:rsidRDefault="001C0189" w:rsidP="00D30D2A">
      <w:pPr>
        <w:numPr>
          <w:ilvl w:val="0"/>
          <w:numId w:val="1"/>
        </w:numPr>
        <w:spacing w:before="200"/>
        <w:rPr>
          <w:rFonts w:eastAsiaTheme="minorEastAsia"/>
        </w:rPr>
      </w:pPr>
      <w:r w:rsidRPr="001C0189">
        <w:rPr>
          <w:rFonts w:eastAsiaTheme="minorEastAsia"/>
        </w:rPr>
        <w:t>Financial - and other - support to be strengthened urgently to make it easier for ALL people to self-isolate when they are infected with COVID-19, to reduce the spread of the virus.</w:t>
      </w:r>
    </w:p>
    <w:p w:rsidR="001C0189" w:rsidRPr="001C0189" w:rsidRDefault="001C0189" w:rsidP="00D30D2A">
      <w:pPr>
        <w:numPr>
          <w:ilvl w:val="0"/>
          <w:numId w:val="1"/>
        </w:numPr>
        <w:spacing w:before="200"/>
        <w:rPr>
          <w:rFonts w:eastAsiaTheme="minorEastAsia"/>
        </w:rPr>
      </w:pPr>
      <w:r w:rsidRPr="001C0189">
        <w:rPr>
          <w:rFonts w:eastAsiaTheme="minorEastAsia"/>
        </w:rPr>
        <w:t>Super charging the NHS by bringing in new staff, increasing bed numbers and capacity in primary care, improving infection control, ensuring equitable access to long COVID clinics, improving access to mental health services, reducing the backlog of routine care and increasing testing capacity for flu and COVID-19.</w:t>
      </w:r>
    </w:p>
    <w:p w:rsidR="001C0189" w:rsidRPr="001C0189" w:rsidRDefault="001C0189" w:rsidP="00D30D2A">
      <w:pPr>
        <w:numPr>
          <w:ilvl w:val="0"/>
          <w:numId w:val="1"/>
        </w:numPr>
        <w:spacing w:before="200"/>
        <w:rPr>
          <w:rFonts w:eastAsiaTheme="minorEastAsia"/>
        </w:rPr>
      </w:pPr>
      <w:r w:rsidRPr="001C0189">
        <w:rPr>
          <w:rFonts w:eastAsiaTheme="minorEastAsia"/>
        </w:rPr>
        <w:t>Government to give clearer and more accessible guidelines about the precautions the public can take to protect themselves and those around them from COVID-19, such as wearing face coverings in crowded indoor spaces, physical distancing and minimising transmission when infected.</w:t>
      </w:r>
    </w:p>
    <w:p w:rsidR="001C0189" w:rsidRPr="001C0189" w:rsidRDefault="001C0189" w:rsidP="00D30D2A">
      <w:pPr>
        <w:numPr>
          <w:ilvl w:val="0"/>
          <w:numId w:val="1"/>
        </w:numPr>
        <w:spacing w:before="200"/>
        <w:rPr>
          <w:rFonts w:eastAsiaTheme="minorEastAsia"/>
        </w:rPr>
      </w:pPr>
      <w:r w:rsidRPr="001C0189">
        <w:rPr>
          <w:rFonts w:eastAsiaTheme="minorEastAsia"/>
        </w:rPr>
        <w:t>Greater involvement of patients, carers and the public in planning for, and developing communications about, future health risks.</w:t>
      </w:r>
    </w:p>
    <w:p w:rsidR="001C0189" w:rsidRDefault="001C0189" w:rsidP="001C0189">
      <w:pPr>
        <w:spacing w:before="200"/>
        <w:rPr>
          <w:rFonts w:eastAsiaTheme="minorEastAsia"/>
        </w:rPr>
      </w:pPr>
      <w:r>
        <w:rPr>
          <w:rFonts w:eastAsiaTheme="minorEastAsia"/>
        </w:rPr>
        <w:t xml:space="preserve">Full report: </w:t>
      </w:r>
      <w:hyperlink r:id="rId25" w:history="1">
        <w:r w:rsidRPr="001C0189">
          <w:rPr>
            <w:rStyle w:val="Hyperlink"/>
            <w:rFonts w:eastAsiaTheme="minorEastAsia"/>
          </w:rPr>
          <w:t>COVID-19: Preparing for the future. Looking ahead to winter 2021/22 and beyond</w:t>
        </w:r>
      </w:hyperlink>
    </w:p>
    <w:p w:rsidR="001C0189" w:rsidRDefault="001C0189" w:rsidP="001C0189">
      <w:pPr>
        <w:spacing w:before="200"/>
        <w:rPr>
          <w:rFonts w:eastAsiaTheme="minorEastAsia"/>
        </w:rPr>
      </w:pPr>
      <w:r>
        <w:rPr>
          <w:rFonts w:eastAsiaTheme="minorEastAsia"/>
        </w:rPr>
        <w:t xml:space="preserve">Report summary: </w:t>
      </w:r>
      <w:hyperlink r:id="rId26" w:history="1">
        <w:r w:rsidRPr="001C0189">
          <w:rPr>
            <w:rStyle w:val="Hyperlink"/>
            <w:rFonts w:eastAsiaTheme="minorEastAsia"/>
          </w:rPr>
          <w:t>COVID-19: Preparing for the future. Looking ahead to winter 2021/22 and beyond</w:t>
        </w:r>
      </w:hyperlink>
    </w:p>
    <w:p w:rsidR="007F31EF" w:rsidRDefault="001C0189" w:rsidP="001C0189">
      <w:pPr>
        <w:spacing w:before="200"/>
        <w:rPr>
          <w:rFonts w:eastAsiaTheme="minorEastAsia"/>
          <w:bCs/>
        </w:rPr>
      </w:pPr>
      <w:r>
        <w:rPr>
          <w:rFonts w:eastAsiaTheme="minorEastAsia"/>
        </w:rPr>
        <w:t xml:space="preserve">Press release: </w:t>
      </w:r>
      <w:hyperlink r:id="rId27" w:history="1">
        <w:r w:rsidRPr="001C0189">
          <w:rPr>
            <w:rStyle w:val="Hyperlink"/>
            <w:rFonts w:eastAsiaTheme="minorEastAsia"/>
            <w:bCs/>
          </w:rPr>
          <w:t>Winter viruses and COVID-19 could push NHS to breaking point, warns new report</w:t>
        </w:r>
      </w:hyperlink>
    </w:p>
    <w:p w:rsidR="007F31EF" w:rsidRDefault="007F31EF" w:rsidP="007F31EF">
      <w:pPr>
        <w:spacing w:before="200"/>
        <w:rPr>
          <w:rFonts w:eastAsiaTheme="minorEastAsia"/>
        </w:rPr>
      </w:pPr>
      <w:r>
        <w:rPr>
          <w:rFonts w:eastAsiaTheme="minorEastAsia"/>
          <w:bCs/>
        </w:rPr>
        <w:t xml:space="preserve">See also: </w:t>
      </w:r>
      <w:hyperlink r:id="rId28" w:history="1">
        <w:r w:rsidRPr="007F31EF">
          <w:rPr>
            <w:rStyle w:val="Hyperlink"/>
            <w:rFonts w:eastAsiaTheme="minorEastAsia"/>
            <w:bCs/>
          </w:rPr>
          <w:t>Winter pressure: RSV, flu, and covid-19 could push NHS to breaking point, report warns</w:t>
        </w:r>
      </w:hyperlink>
      <w:r>
        <w:rPr>
          <w:rFonts w:eastAsiaTheme="minorEastAsia"/>
          <w:bCs/>
        </w:rPr>
        <w:t xml:space="preserve"> | BMJ</w:t>
      </w:r>
      <w:r>
        <w:rPr>
          <w:rFonts w:eastAsiaTheme="minorEastAsia"/>
          <w:bCs/>
        </w:rPr>
        <w:br/>
      </w:r>
    </w:p>
    <w:p w:rsidR="007F31EF" w:rsidRDefault="007F31EF" w:rsidP="007F31EF">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130BBA">
        <w:rPr>
          <w:rFonts w:eastAsiaTheme="minorEastAsia"/>
          <w:caps/>
          <w:spacing w:val="15"/>
        </w:rPr>
        <w:t>Risks of covid-19 hospital admission and death for people with learning disability</w:t>
      </w:r>
    </w:p>
    <w:p w:rsidR="007F31EF" w:rsidRDefault="007F31EF" w:rsidP="007F31EF">
      <w:pPr>
        <w:spacing w:before="200"/>
        <w:rPr>
          <w:rFonts w:eastAsiaTheme="minorEastAsia"/>
        </w:rPr>
      </w:pPr>
      <w:r w:rsidRPr="00130BBA">
        <w:rPr>
          <w:rFonts w:eastAsiaTheme="minorEastAsia"/>
        </w:rPr>
        <w:t>BMJ </w:t>
      </w:r>
      <w:r>
        <w:rPr>
          <w:rFonts w:eastAsiaTheme="minorEastAsia"/>
        </w:rPr>
        <w:t xml:space="preserve">| </w:t>
      </w:r>
      <w:r w:rsidRPr="00130BBA">
        <w:rPr>
          <w:rFonts w:eastAsiaTheme="minorEastAsia"/>
        </w:rPr>
        <w:t>2021;</w:t>
      </w:r>
      <w:r>
        <w:rPr>
          <w:rFonts w:eastAsiaTheme="minorEastAsia"/>
        </w:rPr>
        <w:t xml:space="preserve"> </w:t>
      </w:r>
      <w:r w:rsidRPr="00130BBA">
        <w:rPr>
          <w:rFonts w:eastAsiaTheme="minorEastAsia"/>
        </w:rPr>
        <w:t>374:</w:t>
      </w:r>
      <w:r>
        <w:rPr>
          <w:rFonts w:eastAsiaTheme="minorEastAsia"/>
        </w:rPr>
        <w:t xml:space="preserve"> </w:t>
      </w:r>
      <w:r w:rsidRPr="00130BBA">
        <w:rPr>
          <w:rFonts w:eastAsiaTheme="minorEastAsia"/>
        </w:rPr>
        <w:t>n1592</w:t>
      </w:r>
      <w:r>
        <w:rPr>
          <w:rFonts w:eastAsiaTheme="minorEastAsia"/>
        </w:rPr>
        <w:t xml:space="preserve"> | 15</w:t>
      </w:r>
      <w:r w:rsidRPr="00130BBA">
        <w:rPr>
          <w:rFonts w:eastAsiaTheme="minorEastAsia"/>
          <w:vertAlign w:val="superscript"/>
        </w:rPr>
        <w:t>th</w:t>
      </w:r>
      <w:r>
        <w:rPr>
          <w:rFonts w:eastAsiaTheme="minorEastAsia"/>
        </w:rPr>
        <w:t xml:space="preserve"> July 2021</w:t>
      </w:r>
    </w:p>
    <w:p w:rsidR="007F31EF" w:rsidRPr="00130BBA" w:rsidRDefault="007F31EF" w:rsidP="007F31EF">
      <w:pPr>
        <w:spacing w:before="200"/>
        <w:rPr>
          <w:rFonts w:eastAsiaTheme="minorEastAsia"/>
        </w:rPr>
      </w:pPr>
      <w:r>
        <w:rPr>
          <w:rFonts w:eastAsiaTheme="minorEastAsia"/>
        </w:rPr>
        <w:t>The o</w:t>
      </w:r>
      <w:r w:rsidRPr="00130BBA">
        <w:rPr>
          <w:rFonts w:eastAsiaTheme="minorEastAsia"/>
        </w:rPr>
        <w:t xml:space="preserve">bjective </w:t>
      </w:r>
      <w:r>
        <w:rPr>
          <w:rFonts w:eastAsiaTheme="minorEastAsia"/>
        </w:rPr>
        <w:t>of this p</w:t>
      </w:r>
      <w:r w:rsidRPr="00130BBA">
        <w:rPr>
          <w:rFonts w:eastAsiaTheme="minorEastAsia"/>
        </w:rPr>
        <w:t>opulation based cohort study</w:t>
      </w:r>
      <w:r>
        <w:rPr>
          <w:rFonts w:eastAsiaTheme="minorEastAsia"/>
        </w:rPr>
        <w:t xml:space="preserve"> was t</w:t>
      </w:r>
      <w:r w:rsidRPr="00130BBA">
        <w:rPr>
          <w:rFonts w:eastAsiaTheme="minorEastAsia"/>
        </w:rPr>
        <w:t>o assess the association between learning disability and risk of hospital admission and death from covid-19 in England among adults and children.</w:t>
      </w:r>
    </w:p>
    <w:p w:rsidR="007F31EF" w:rsidRDefault="007F31EF" w:rsidP="007F31EF">
      <w:pPr>
        <w:spacing w:before="200"/>
        <w:rPr>
          <w:rFonts w:eastAsiaTheme="minorEastAsia"/>
        </w:rPr>
      </w:pPr>
      <w:r>
        <w:rPr>
          <w:rFonts w:eastAsiaTheme="minorEastAsia"/>
        </w:rPr>
        <w:t>The authors conclude that p</w:t>
      </w:r>
      <w:r w:rsidRPr="00130BBA">
        <w:rPr>
          <w:rFonts w:eastAsiaTheme="minorEastAsia"/>
        </w:rPr>
        <w:t>eople with learning disability have markedly increased risks of hospital admission and death from covid-19, over and above the risks observed for non-covid causes of death. Prompt access to covid-19 testing and healthcare is warranted for this vulnerable group, and prioritisation for covid-19 vaccination and other targeted preventive measures should be considered.</w:t>
      </w:r>
    </w:p>
    <w:p w:rsidR="007F31EF" w:rsidRDefault="007F31EF" w:rsidP="007F31EF">
      <w:pPr>
        <w:spacing w:before="200"/>
        <w:rPr>
          <w:rFonts w:eastAsiaTheme="minorEastAsia"/>
        </w:rPr>
      </w:pPr>
      <w:r>
        <w:rPr>
          <w:rFonts w:eastAsiaTheme="minorEastAsia"/>
        </w:rPr>
        <w:t xml:space="preserve">Full paper: </w:t>
      </w:r>
      <w:hyperlink r:id="rId29" w:history="1">
        <w:r w:rsidRPr="005142D0">
          <w:rPr>
            <w:rStyle w:val="Hyperlink"/>
            <w:rFonts w:eastAsiaTheme="minorEastAsia"/>
          </w:rPr>
          <w:t>Risks of covid-19 hospital admission and death for people with learning disability: population based cohort study using the OpenSAFELY platform</w:t>
        </w:r>
      </w:hyperlink>
    </w:p>
    <w:p w:rsidR="001C0189" w:rsidRDefault="007F31EF" w:rsidP="00106DF8">
      <w:pPr>
        <w:spacing w:before="200"/>
        <w:rPr>
          <w:rFonts w:eastAsiaTheme="minorEastAsia"/>
        </w:rPr>
      </w:pPr>
      <w:r w:rsidRPr="005142D0">
        <w:rPr>
          <w:rFonts w:eastAsiaTheme="minorEastAsia"/>
        </w:rPr>
        <w:t>Linked Editorial</w:t>
      </w:r>
      <w:r>
        <w:rPr>
          <w:rFonts w:eastAsiaTheme="minorEastAsia"/>
        </w:rPr>
        <w:t xml:space="preserve">: </w:t>
      </w:r>
      <w:hyperlink r:id="rId30" w:history="1">
        <w:r w:rsidRPr="005142D0">
          <w:rPr>
            <w:rStyle w:val="Hyperlink"/>
            <w:rFonts w:eastAsiaTheme="minorEastAsia"/>
          </w:rPr>
          <w:t>Covid 19: People with learning disabilities are highly vulnerable</w:t>
        </w:r>
      </w:hyperlink>
      <w:r>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7F31EF" w:rsidRPr="007F31EF">
        <w:rPr>
          <w:rFonts w:eastAsiaTheme="minorEastAsia"/>
          <w:caps/>
          <w:spacing w:val="15"/>
        </w:rPr>
        <w:t>Averting Future Vaccine Injustice</w:t>
      </w:r>
    </w:p>
    <w:p w:rsidR="00106DF8" w:rsidRDefault="007F31EF" w:rsidP="00106DF8">
      <w:pPr>
        <w:spacing w:before="200"/>
        <w:rPr>
          <w:rFonts w:eastAsiaTheme="minorEastAsia"/>
        </w:rPr>
      </w:pPr>
      <w:r>
        <w:rPr>
          <w:rFonts w:eastAsiaTheme="minorEastAsia"/>
        </w:rPr>
        <w:t>New England Journal of Medicine | 15</w:t>
      </w:r>
      <w:r w:rsidRPr="007F31EF">
        <w:rPr>
          <w:rFonts w:eastAsiaTheme="minorEastAsia"/>
          <w:vertAlign w:val="superscript"/>
        </w:rPr>
        <w:t>th</w:t>
      </w:r>
      <w:r>
        <w:rPr>
          <w:rFonts w:eastAsiaTheme="minorEastAsia"/>
        </w:rPr>
        <w:t xml:space="preserve"> July 2021</w:t>
      </w:r>
    </w:p>
    <w:p w:rsidR="007F31EF" w:rsidRDefault="007F31EF" w:rsidP="00106DF8">
      <w:pPr>
        <w:spacing w:before="200"/>
        <w:rPr>
          <w:rFonts w:eastAsiaTheme="minorEastAsia"/>
        </w:rPr>
      </w:pPr>
      <w:r w:rsidRPr="007F31EF">
        <w:rPr>
          <w:rFonts w:eastAsiaTheme="minorEastAsia"/>
        </w:rPr>
        <w:t xml:space="preserve">As high-income countries have secured much of the Covid vaccine supply, many low-income countries have barely begun the immunization process. </w:t>
      </w:r>
      <w:r>
        <w:rPr>
          <w:rFonts w:eastAsiaTheme="minorEastAsia"/>
        </w:rPr>
        <w:t>This perspective piece argues that w</w:t>
      </w:r>
      <w:r w:rsidRPr="007F31EF">
        <w:rPr>
          <w:rFonts w:eastAsiaTheme="minorEastAsia"/>
        </w:rPr>
        <w:t>e need political courage to end vaccine injustice now and political vision to negotiate rules for averting future inequities.</w:t>
      </w:r>
    </w:p>
    <w:p w:rsidR="007F31EF" w:rsidRDefault="007F31EF" w:rsidP="00106DF8">
      <w:pPr>
        <w:spacing w:before="200"/>
        <w:rPr>
          <w:rFonts w:eastAsiaTheme="minorEastAsia"/>
        </w:rPr>
      </w:pPr>
      <w:r>
        <w:rPr>
          <w:rFonts w:eastAsiaTheme="minorEastAsia"/>
        </w:rPr>
        <w:t xml:space="preserve">Full detail: </w:t>
      </w:r>
      <w:hyperlink r:id="rId31" w:history="1">
        <w:r w:rsidRPr="007F31EF">
          <w:rPr>
            <w:rStyle w:val="Hyperlink"/>
            <w:rFonts w:eastAsiaTheme="minorEastAsia"/>
          </w:rPr>
          <w:t>Averting future vaccine injustice</w:t>
        </w:r>
      </w:hyperlink>
      <w:r w:rsidR="00837C32">
        <w:rPr>
          <w:rFonts w:eastAsiaTheme="minorEastAsia"/>
        </w:rPr>
        <w:br/>
      </w:r>
    </w:p>
    <w:p w:rsidR="00837C32" w:rsidRDefault="00837C32" w:rsidP="00837C32">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693984">
        <w:rPr>
          <w:rFonts w:eastAsiaTheme="minorEastAsia"/>
          <w:caps/>
          <w:spacing w:val="15"/>
        </w:rPr>
        <w:t>Education and mental health: good reasons to vaccinate children</w:t>
      </w:r>
    </w:p>
    <w:p w:rsidR="00837C32" w:rsidRDefault="00837C32" w:rsidP="00837C32">
      <w:pPr>
        <w:spacing w:before="200"/>
        <w:rPr>
          <w:rFonts w:eastAsiaTheme="minorEastAsia"/>
        </w:rPr>
      </w:pPr>
      <w:r>
        <w:rPr>
          <w:rFonts w:eastAsiaTheme="minorEastAsia"/>
        </w:rPr>
        <w:t>The Lancet | July 14</w:t>
      </w:r>
      <w:r w:rsidRPr="00693984">
        <w:rPr>
          <w:rFonts w:eastAsiaTheme="minorEastAsia"/>
          <w:vertAlign w:val="superscript"/>
        </w:rPr>
        <w:t>th</w:t>
      </w:r>
      <w:r>
        <w:rPr>
          <w:rFonts w:eastAsiaTheme="minorEastAsia"/>
        </w:rPr>
        <w:t xml:space="preserve"> 2021</w:t>
      </w:r>
    </w:p>
    <w:p w:rsidR="00837C32" w:rsidRDefault="00837C32" w:rsidP="00837C32">
      <w:pPr>
        <w:spacing w:before="200"/>
        <w:rPr>
          <w:rFonts w:eastAsiaTheme="minorEastAsia"/>
        </w:rPr>
      </w:pPr>
      <w:r w:rsidRPr="00693984">
        <w:rPr>
          <w:rFonts w:eastAsiaTheme="minorEastAsia"/>
        </w:rPr>
        <w:t>With the elevated transmissibility of circulating SARS-CoV-2 variants, vaccination coverages as high as 90% in adults might be necessary to fully relax control mea</w:t>
      </w:r>
      <w:r>
        <w:rPr>
          <w:rFonts w:eastAsiaTheme="minorEastAsia"/>
        </w:rPr>
        <w:t xml:space="preserve">sures towards the end of 2021. </w:t>
      </w:r>
      <w:r w:rsidRPr="00693984">
        <w:rPr>
          <w:rFonts w:eastAsiaTheme="minorEastAsia"/>
        </w:rPr>
        <w:t xml:space="preserve">Such targets might be hard to reach because of vaccine hesitancy. </w:t>
      </w:r>
    </w:p>
    <w:p w:rsidR="00837C32" w:rsidRDefault="00837C32" w:rsidP="00837C32">
      <w:pPr>
        <w:spacing w:before="200"/>
        <w:rPr>
          <w:rFonts w:eastAsiaTheme="minorEastAsia"/>
        </w:rPr>
      </w:pPr>
      <w:r w:rsidRPr="00693984">
        <w:rPr>
          <w:rFonts w:eastAsiaTheme="minorEastAsia"/>
        </w:rPr>
        <w:t xml:space="preserve">Therefore, there is a risk that COVID-19 might cause substantial stress on health care in the winter months at the end of 2021 and beginning of 2022. </w:t>
      </w:r>
    </w:p>
    <w:p w:rsidR="00837C32" w:rsidRDefault="00837C32" w:rsidP="00837C32">
      <w:pPr>
        <w:spacing w:before="200"/>
        <w:rPr>
          <w:rFonts w:eastAsiaTheme="minorEastAsia"/>
        </w:rPr>
      </w:pPr>
      <w:r w:rsidRPr="00693984">
        <w:rPr>
          <w:rFonts w:eastAsiaTheme="minorEastAsia"/>
        </w:rPr>
        <w:t xml:space="preserve">Modelling data suggest that vaccination of children and adolescents could help mitigate this risk of SARS-CoV-2 dissemination by ensuring </w:t>
      </w:r>
      <w:r>
        <w:rPr>
          <w:rFonts w:eastAsiaTheme="minorEastAsia"/>
        </w:rPr>
        <w:t>they do not act as a reservoir.</w:t>
      </w:r>
      <w:r w:rsidRPr="00693984">
        <w:rPr>
          <w:rFonts w:eastAsiaTheme="minorEastAsia"/>
        </w:rPr>
        <w:t xml:space="preserve"> However, sinc</w:t>
      </w:r>
      <w:r>
        <w:rPr>
          <w:rFonts w:eastAsiaTheme="minorEastAsia"/>
        </w:rPr>
        <w:t>e COVID-19 is mild in children,</w:t>
      </w:r>
      <w:r w:rsidRPr="00693984">
        <w:rPr>
          <w:rFonts w:eastAsiaTheme="minorEastAsia"/>
        </w:rPr>
        <w:t xml:space="preserve"> such intervention might be ethically problematic if the population benefits come without individual benefits for children. </w:t>
      </w:r>
    </w:p>
    <w:p w:rsidR="00837C32" w:rsidRDefault="00837C32" w:rsidP="00837C32">
      <w:pPr>
        <w:spacing w:before="200"/>
        <w:rPr>
          <w:rFonts w:eastAsiaTheme="minorEastAsia"/>
        </w:rPr>
      </w:pPr>
      <w:r>
        <w:rPr>
          <w:rFonts w:eastAsiaTheme="minorEastAsia"/>
        </w:rPr>
        <w:t>The authors of this correspondence piece</w:t>
      </w:r>
      <w:r w:rsidRPr="00693984">
        <w:rPr>
          <w:rFonts w:eastAsiaTheme="minorEastAsia"/>
        </w:rPr>
        <w:t xml:space="preserve"> argue that vaccinating children and adolescents is important to secure their continued access to education and protect their mental health.</w:t>
      </w:r>
    </w:p>
    <w:p w:rsidR="00E72425" w:rsidRDefault="00837C32" w:rsidP="00837C32">
      <w:pPr>
        <w:spacing w:before="200"/>
        <w:rPr>
          <w:rFonts w:eastAsiaTheme="minorEastAsia"/>
        </w:rPr>
      </w:pPr>
      <w:r>
        <w:rPr>
          <w:rFonts w:eastAsiaTheme="minorEastAsia"/>
        </w:rPr>
        <w:t xml:space="preserve">Full detail: </w:t>
      </w:r>
      <w:hyperlink r:id="rId32" w:history="1">
        <w:r w:rsidRPr="00693984">
          <w:rPr>
            <w:rStyle w:val="Hyperlink"/>
            <w:rFonts w:eastAsiaTheme="minorEastAsia"/>
          </w:rPr>
          <w:t>Education and mental health: good reasons to vaccinate children</w:t>
        </w:r>
      </w:hyperlink>
      <w:r w:rsidR="00E72425">
        <w:rPr>
          <w:rFonts w:eastAsiaTheme="minorEastAsia"/>
        </w:rPr>
        <w:br/>
      </w:r>
    </w:p>
    <w:p w:rsidR="00E72425" w:rsidRDefault="00E72425" w:rsidP="00E72425">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E72425">
        <w:rPr>
          <w:rFonts w:eastAsiaTheme="minorEastAsia"/>
          <w:caps/>
          <w:spacing w:val="15"/>
        </w:rPr>
        <w:t>Long COVID and kids: scientists race to find answers</w:t>
      </w:r>
    </w:p>
    <w:p w:rsidR="00E72425" w:rsidRDefault="00E72425" w:rsidP="00837C32">
      <w:pPr>
        <w:spacing w:before="200"/>
        <w:rPr>
          <w:rFonts w:eastAsiaTheme="minorEastAsia"/>
        </w:rPr>
      </w:pPr>
      <w:r>
        <w:rPr>
          <w:rFonts w:eastAsiaTheme="minorEastAsia"/>
        </w:rPr>
        <w:t>Nature | 14</w:t>
      </w:r>
      <w:r w:rsidRPr="00E72425">
        <w:rPr>
          <w:rFonts w:eastAsiaTheme="minorEastAsia"/>
          <w:vertAlign w:val="superscript"/>
        </w:rPr>
        <w:t>th</w:t>
      </w:r>
      <w:r>
        <w:rPr>
          <w:rFonts w:eastAsiaTheme="minorEastAsia"/>
        </w:rPr>
        <w:t xml:space="preserve"> July 2021</w:t>
      </w:r>
    </w:p>
    <w:p w:rsidR="00E72425" w:rsidRDefault="00E72425" w:rsidP="00837C32">
      <w:pPr>
        <w:spacing w:before="200"/>
        <w:rPr>
          <w:rFonts w:eastAsiaTheme="minorEastAsia"/>
        </w:rPr>
      </w:pPr>
      <w:r w:rsidRPr="00E72425">
        <w:rPr>
          <w:rFonts w:eastAsiaTheme="minorEastAsia"/>
        </w:rPr>
        <w:t>As COVID-19 has ripped through communities, children have often been spared the wor</w:t>
      </w:r>
      <w:r>
        <w:rPr>
          <w:rFonts w:eastAsiaTheme="minorEastAsia"/>
        </w:rPr>
        <w:t>st of the disease’s impacts. However,</w:t>
      </w:r>
      <w:r w:rsidRPr="00E72425">
        <w:rPr>
          <w:rFonts w:eastAsiaTheme="minorEastAsia"/>
        </w:rPr>
        <w:t xml:space="preserve"> </w:t>
      </w:r>
      <w:r>
        <w:rPr>
          <w:rFonts w:eastAsiaTheme="minorEastAsia"/>
        </w:rPr>
        <w:t xml:space="preserve">as this article discusses, </w:t>
      </w:r>
      <w:r w:rsidRPr="00E72425">
        <w:rPr>
          <w:rFonts w:eastAsiaTheme="minorEastAsia"/>
        </w:rPr>
        <w:t>the spectre of long COVID developing in children is forcing researchers to reconsider the cost of the pandemic for younger people</w:t>
      </w:r>
      <w:r>
        <w:rPr>
          <w:rFonts w:eastAsiaTheme="minorEastAsia"/>
        </w:rPr>
        <w:t>.</w:t>
      </w:r>
    </w:p>
    <w:p w:rsidR="00837C32" w:rsidRDefault="00E72425" w:rsidP="00837C32">
      <w:pPr>
        <w:spacing w:before="200"/>
        <w:rPr>
          <w:rFonts w:eastAsiaTheme="minorEastAsia"/>
        </w:rPr>
      </w:pPr>
      <w:r>
        <w:rPr>
          <w:rFonts w:eastAsiaTheme="minorEastAsia"/>
        </w:rPr>
        <w:t xml:space="preserve">Full detail: </w:t>
      </w:r>
      <w:hyperlink r:id="rId33" w:history="1">
        <w:r w:rsidRPr="00E72425">
          <w:rPr>
            <w:rStyle w:val="Hyperlink"/>
            <w:rFonts w:eastAsiaTheme="minorEastAsia"/>
          </w:rPr>
          <w:t>Long COVID and kids: scientists race to find answers</w:t>
        </w:r>
      </w:hyperlink>
      <w:r w:rsidR="00837C32">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837C32" w:rsidRPr="00837C32">
        <w:rPr>
          <w:rFonts w:eastAsiaTheme="minorEastAsia"/>
          <w:caps/>
          <w:spacing w:val="15"/>
        </w:rPr>
        <w:t>Recovery after prolonged ICU treatment in patients with COVID-19</w:t>
      </w:r>
    </w:p>
    <w:p w:rsidR="00106DF8" w:rsidRDefault="006E09E5" w:rsidP="00106DF8">
      <w:pPr>
        <w:spacing w:before="200"/>
        <w:rPr>
          <w:rFonts w:eastAsiaTheme="minorEastAsia"/>
        </w:rPr>
      </w:pPr>
      <w:r>
        <w:rPr>
          <w:rFonts w:eastAsiaTheme="minorEastAsia"/>
        </w:rPr>
        <w:t>The Lancet Respiratory Medicine | 14</w:t>
      </w:r>
      <w:r w:rsidRPr="006E09E5">
        <w:rPr>
          <w:rFonts w:eastAsiaTheme="minorEastAsia"/>
          <w:vertAlign w:val="superscript"/>
        </w:rPr>
        <w:t>th</w:t>
      </w:r>
      <w:r>
        <w:rPr>
          <w:rFonts w:eastAsiaTheme="minorEastAsia"/>
        </w:rPr>
        <w:t xml:space="preserve"> July 2021</w:t>
      </w:r>
    </w:p>
    <w:p w:rsidR="006E09E5" w:rsidRDefault="006E09E5" w:rsidP="006E09E5">
      <w:pPr>
        <w:spacing w:before="200"/>
        <w:rPr>
          <w:rFonts w:eastAsiaTheme="minorEastAsia"/>
        </w:rPr>
      </w:pPr>
      <w:r w:rsidRPr="006E09E5">
        <w:rPr>
          <w:rFonts w:eastAsiaTheme="minorEastAsia"/>
        </w:rPr>
        <w:t>With millions of individuals contracting COVID-19 worldwide, an unprecedented number of intensive care unit (ICU) survivors are now in recovery.</w:t>
      </w:r>
      <w:r>
        <w:rPr>
          <w:rFonts w:eastAsiaTheme="minorEastAsia"/>
        </w:rPr>
        <w:t xml:space="preserve"> </w:t>
      </w:r>
      <w:r w:rsidRPr="006E09E5">
        <w:rPr>
          <w:rFonts w:eastAsiaTheme="minorEastAsia"/>
        </w:rPr>
        <w:t xml:space="preserve">There is an urgent need to understand more fully the consequences of COVID-19 critical illness to prioritise patient-centred and family-centred interventions to meet their post-ICU physical and mental health needs. </w:t>
      </w:r>
    </w:p>
    <w:p w:rsidR="006E09E5" w:rsidRDefault="006E09E5" w:rsidP="006E09E5">
      <w:pPr>
        <w:spacing w:before="200"/>
        <w:rPr>
          <w:rFonts w:eastAsiaTheme="minorEastAsia"/>
        </w:rPr>
      </w:pPr>
      <w:r w:rsidRPr="006E09E5">
        <w:rPr>
          <w:rFonts w:eastAsiaTheme="minorEastAsia"/>
        </w:rPr>
        <w:t>However, achieving advances in understanding to provide optimum care after acute disease remains challenging, with a paucity of post-COVID-19 long-term outcome data, and little understanding of the intersection between the direct consequences of COVID-19 (currently identified under the term post-COVID-19 condition) and the complex consequences of critical illness (post-intensive care syndrome or PICS). </w:t>
      </w:r>
    </w:p>
    <w:p w:rsidR="006E09E5" w:rsidRDefault="006E09E5" w:rsidP="006E09E5">
      <w:pPr>
        <w:spacing w:before="200"/>
        <w:rPr>
          <w:rFonts w:eastAsiaTheme="minorEastAsia"/>
        </w:rPr>
      </w:pPr>
      <w:r>
        <w:rPr>
          <w:rFonts w:eastAsiaTheme="minorEastAsia"/>
        </w:rPr>
        <w:t>This comment piece suggests that t</w:t>
      </w:r>
      <w:r w:rsidRPr="006E09E5">
        <w:rPr>
          <w:rFonts w:eastAsiaTheme="minorEastAsia"/>
        </w:rPr>
        <w:t>he unprecedented volumes of post-ICU patients will require thoughtful system change and the development of a systematised continuum of care. As more data emerge and the features and course of post-COVID-19-associated critical illness become clearer, this continuum of care will need to be refined and optimised to meet the long-term needs of patients and their families.</w:t>
      </w:r>
    </w:p>
    <w:p w:rsidR="00DB5D0D" w:rsidRDefault="006E09E5" w:rsidP="006E09E5">
      <w:pPr>
        <w:spacing w:before="200"/>
        <w:rPr>
          <w:rFonts w:eastAsiaTheme="minorEastAsia"/>
        </w:rPr>
      </w:pPr>
      <w:r>
        <w:rPr>
          <w:rFonts w:eastAsiaTheme="minorEastAsia"/>
        </w:rPr>
        <w:t xml:space="preserve">Full detail: </w:t>
      </w:r>
      <w:hyperlink r:id="rId34" w:history="1">
        <w:r w:rsidRPr="006E09E5">
          <w:rPr>
            <w:rStyle w:val="Hyperlink"/>
            <w:rFonts w:eastAsiaTheme="minorEastAsia"/>
          </w:rPr>
          <w:t>Recovery after prolonged ICU treatment in patients with COVID-19</w:t>
        </w:r>
      </w:hyperlink>
      <w:r w:rsidR="00DB5D0D">
        <w:rPr>
          <w:rFonts w:eastAsiaTheme="minorEastAsia"/>
        </w:rPr>
        <w:br/>
      </w:r>
    </w:p>
    <w:p w:rsidR="00DB5D0D" w:rsidRDefault="00DB5D0D" w:rsidP="00DB5D0D">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CB1ED1">
        <w:rPr>
          <w:rFonts w:eastAsiaTheme="minorEastAsia"/>
          <w:caps/>
          <w:spacing w:val="15"/>
        </w:rPr>
        <w:t>Post-covid Syndrome: A Single-Center Questionnaire Study On 1007 Participants Recovered from COVID-19</w:t>
      </w:r>
    </w:p>
    <w:p w:rsidR="00DB5D0D" w:rsidRDefault="00DB5D0D" w:rsidP="00DB5D0D">
      <w:pPr>
        <w:spacing w:before="200"/>
        <w:rPr>
          <w:rFonts w:eastAsiaTheme="minorEastAsia"/>
        </w:rPr>
      </w:pPr>
      <w:r>
        <w:rPr>
          <w:rFonts w:eastAsiaTheme="minorEastAsia"/>
        </w:rPr>
        <w:t>Journal of Medical Virology | 13</w:t>
      </w:r>
      <w:r w:rsidRPr="00CB1ED1">
        <w:rPr>
          <w:rFonts w:eastAsiaTheme="minorEastAsia"/>
          <w:vertAlign w:val="superscript"/>
        </w:rPr>
        <w:t>th</w:t>
      </w:r>
      <w:r>
        <w:rPr>
          <w:rFonts w:eastAsiaTheme="minorEastAsia"/>
        </w:rPr>
        <w:t xml:space="preserve"> July 2021</w:t>
      </w:r>
    </w:p>
    <w:p w:rsidR="00DB5D0D" w:rsidRDefault="00DB5D0D" w:rsidP="00DB5D0D">
      <w:pPr>
        <w:spacing w:before="200"/>
        <w:rPr>
          <w:rFonts w:eastAsiaTheme="minorEastAsia"/>
        </w:rPr>
      </w:pPr>
      <w:r w:rsidRPr="00CB1ED1">
        <w:rPr>
          <w:rFonts w:eastAsiaTheme="minorEastAsia"/>
        </w:rPr>
        <w:t>Post-recovery manifestations have become another concern in patients who recovered from COVID-19. Numerous reports have shown that COVID-19 has a variety of long-term effects on almost all systems including respiratory, cardiovascular, gastrointestinal, neurological, psychiatric</w:t>
      </w:r>
      <w:r>
        <w:rPr>
          <w:rFonts w:eastAsiaTheme="minorEastAsia"/>
        </w:rPr>
        <w:t>, and dermatological systems. This research</w:t>
      </w:r>
      <w:r w:rsidRPr="00CB1ED1">
        <w:rPr>
          <w:rFonts w:eastAsiaTheme="minorEastAsia"/>
        </w:rPr>
        <w:t xml:space="preserve"> aimed to investigate the prevalence and characteristics of the post-covid syndrome among COVID-19 survivors and to determine the factors associated with persistent symptoms.</w:t>
      </w:r>
    </w:p>
    <w:p w:rsidR="00DB5D0D" w:rsidRPr="00CB1ED1" w:rsidRDefault="00DB5D0D" w:rsidP="00DB5D0D">
      <w:pPr>
        <w:spacing w:before="200"/>
        <w:rPr>
          <w:rFonts w:eastAsiaTheme="minorEastAsia"/>
        </w:rPr>
      </w:pPr>
      <w:r w:rsidRPr="00CB1ED1">
        <w:rPr>
          <w:rFonts w:eastAsiaTheme="minorEastAsia"/>
        </w:rPr>
        <w:t>A total of 1007 participants, 39.0% had at least one comorbidity, and 47.5% had persistent symptoms. Fatigue/easy fatigability, myalgia, and loss of weight were the most frequent persistent symptoms (overall 29.3%) and followed by respiratory symptoms (25.4%). A total of 235 participants had visited outpatient clinics due to several reasons during the post-COVID-19 period, 17 of them were hospitalized. Severe acute COVID-19, hospitalization, and presence of comorbidity were independent factors for the development of persistent symptoms.</w:t>
      </w:r>
    </w:p>
    <w:p w:rsidR="00DB5D0D" w:rsidRDefault="00DB5D0D" w:rsidP="00DB5D0D">
      <w:pPr>
        <w:spacing w:before="200"/>
        <w:rPr>
          <w:rFonts w:eastAsiaTheme="minorEastAsia"/>
        </w:rPr>
      </w:pPr>
      <w:r>
        <w:rPr>
          <w:rFonts w:eastAsiaTheme="minorEastAsia"/>
        </w:rPr>
        <w:t>The authors conclude that f</w:t>
      </w:r>
      <w:r w:rsidRPr="00CB1ED1">
        <w:rPr>
          <w:rFonts w:eastAsiaTheme="minorEastAsia"/>
        </w:rPr>
        <w:t>ully understanding the spectrum of post-covid syndrome is essential for appropriate management o</w:t>
      </w:r>
      <w:r>
        <w:rPr>
          <w:rFonts w:eastAsiaTheme="minorEastAsia"/>
        </w:rPr>
        <w:t>f all its long-term effects. The</w:t>
      </w:r>
      <w:r w:rsidRPr="00CB1ED1">
        <w:rPr>
          <w:rFonts w:eastAsiaTheme="minorEastAsia"/>
        </w:rPr>
        <w:t xml:space="preserve"> study once again underlined that the prevalence of post-covid syndrome is higher than expected and concerns many systems, and a multidisciplinary follow-up should be provided to COVID-19 survivors in the post-recovery period.</w:t>
      </w:r>
    </w:p>
    <w:p w:rsidR="00DB5D0D" w:rsidRPr="00CB1ED1" w:rsidRDefault="00DB5D0D" w:rsidP="00DB5D0D">
      <w:pPr>
        <w:spacing w:before="200"/>
        <w:rPr>
          <w:rFonts w:eastAsiaTheme="minorEastAsia"/>
        </w:rPr>
      </w:pPr>
      <w:r>
        <w:rPr>
          <w:rFonts w:eastAsiaTheme="minorEastAsia"/>
        </w:rPr>
        <w:t xml:space="preserve">Full paper: </w:t>
      </w:r>
      <w:hyperlink r:id="rId35" w:history="1">
        <w:r w:rsidRPr="00CB1ED1">
          <w:rPr>
            <w:rStyle w:val="Hyperlink"/>
            <w:rFonts w:eastAsiaTheme="minorEastAsia"/>
          </w:rPr>
          <w:t>Post-covid Syndrome: A Single-Center questionnaire study on 1007 participants recovered from COVID-19</w:t>
        </w:r>
      </w:hyperlink>
      <w:r w:rsidR="00BE1AC6">
        <w:rPr>
          <w:rStyle w:val="Hyperlink"/>
          <w:rFonts w:eastAsiaTheme="minorEastAsia"/>
        </w:rPr>
        <w:br/>
      </w:r>
    </w:p>
    <w:p w:rsidR="00DA0B65" w:rsidRDefault="00DA0B65" w:rsidP="00DA0B65">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3010E9">
        <w:rPr>
          <w:rFonts w:eastAsiaTheme="minorEastAsia"/>
          <w:caps/>
          <w:spacing w:val="15"/>
        </w:rPr>
        <w:t>Study Suggests Lasting Immunity After COVID-19, With a Big Boost From Vaccination</w:t>
      </w:r>
    </w:p>
    <w:p w:rsidR="00DA0B65" w:rsidRDefault="00DA0B65" w:rsidP="00DA0B65">
      <w:pPr>
        <w:spacing w:before="200"/>
        <w:rPr>
          <w:rFonts w:eastAsiaTheme="minorEastAsia"/>
        </w:rPr>
      </w:pPr>
      <w:r>
        <w:rPr>
          <w:rFonts w:eastAsiaTheme="minorEastAsia"/>
        </w:rPr>
        <w:t>JAMA | 14</w:t>
      </w:r>
      <w:r w:rsidRPr="003010E9">
        <w:rPr>
          <w:rFonts w:eastAsiaTheme="minorEastAsia"/>
          <w:vertAlign w:val="superscript"/>
        </w:rPr>
        <w:t>th</w:t>
      </w:r>
      <w:r>
        <w:rPr>
          <w:rFonts w:eastAsiaTheme="minorEastAsia"/>
        </w:rPr>
        <w:t xml:space="preserve"> July 2021</w:t>
      </w:r>
    </w:p>
    <w:p w:rsidR="00DA0B65" w:rsidRPr="003010E9" w:rsidRDefault="00DA0B65" w:rsidP="00DA0B65">
      <w:pPr>
        <w:spacing w:before="200"/>
        <w:rPr>
          <w:rFonts w:eastAsiaTheme="minorEastAsia"/>
        </w:rPr>
      </w:pPr>
      <w:r>
        <w:rPr>
          <w:rFonts w:eastAsiaTheme="minorEastAsia"/>
        </w:rPr>
        <w:t>A</w:t>
      </w:r>
      <w:r w:rsidRPr="003010E9">
        <w:rPr>
          <w:rFonts w:eastAsiaTheme="minorEastAsia"/>
        </w:rPr>
        <w:t>fter an infection with SARS-CoV-2, most people—even those with mild infections—appear to have some protection against the virus for at least a year, a recent follow-up study of recovered patients published in </w:t>
      </w:r>
      <w:r w:rsidRPr="003010E9">
        <w:rPr>
          <w:rFonts w:eastAsiaTheme="minorEastAsia"/>
          <w:i/>
          <w:iCs/>
        </w:rPr>
        <w:t>Nature</w:t>
      </w:r>
      <w:r w:rsidRPr="003010E9">
        <w:rPr>
          <w:rFonts w:eastAsiaTheme="minorEastAsia"/>
        </w:rPr>
        <w:t> suggests. What’s more, this and other research demonstrates that vaccinating these individuals substantially enhances their immune response and confers strong resistance against variants of concern, including the B.1.617.2 (delta) variant.</w:t>
      </w:r>
    </w:p>
    <w:p w:rsidR="00DA0B65" w:rsidRDefault="00DA0B65" w:rsidP="00DA0B65">
      <w:pPr>
        <w:spacing w:before="200"/>
        <w:rPr>
          <w:rFonts w:eastAsiaTheme="minorEastAsia"/>
        </w:rPr>
      </w:pPr>
      <w:r>
        <w:rPr>
          <w:rFonts w:eastAsiaTheme="minorEastAsia"/>
        </w:rPr>
        <w:t xml:space="preserve">Further detail: </w:t>
      </w:r>
      <w:hyperlink r:id="rId36" w:history="1">
        <w:r w:rsidRPr="003010E9">
          <w:rPr>
            <w:rStyle w:val="Hyperlink"/>
            <w:rFonts w:eastAsiaTheme="minorEastAsia"/>
          </w:rPr>
          <w:t>Study suggests lasting immunity after Covid-19, with a big boost from vaccination</w:t>
        </w:r>
      </w:hyperlink>
    </w:p>
    <w:p w:rsidR="00DA0B65" w:rsidRPr="006E09E5" w:rsidRDefault="00DA0B65" w:rsidP="006E09E5">
      <w:pPr>
        <w:spacing w:before="200"/>
        <w:rPr>
          <w:rFonts w:eastAsiaTheme="minorEastAsia"/>
        </w:rPr>
      </w:pPr>
      <w:r>
        <w:rPr>
          <w:rFonts w:eastAsiaTheme="minorEastAsia"/>
        </w:rPr>
        <w:t xml:space="preserve">Related research paper: </w:t>
      </w:r>
      <w:hyperlink r:id="rId37" w:history="1">
        <w:r w:rsidRPr="003010E9">
          <w:rPr>
            <w:rStyle w:val="Hyperlink"/>
            <w:rFonts w:eastAsiaTheme="minorEastAsia"/>
          </w:rPr>
          <w:t>Naturally enhanced neutralizing breadth against SARS-CoV-2 one year after infection</w:t>
        </w:r>
      </w:hyperlink>
      <w:r>
        <w:rPr>
          <w:rFonts w:eastAsiaTheme="minorEastAsia"/>
        </w:rPr>
        <w:t xml:space="preserve"> | Nature </w:t>
      </w:r>
      <w:r w:rsidR="00784F7B">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784F7B" w:rsidRPr="00784F7B">
        <w:rPr>
          <w:rFonts w:eastAsiaTheme="minorEastAsia"/>
          <w:caps/>
          <w:spacing w:val="15"/>
        </w:rPr>
        <w:t>Landmark study finds one in two hospitalised COVID-19 patients develop a complication</w:t>
      </w:r>
    </w:p>
    <w:p w:rsidR="00106DF8" w:rsidRDefault="00784F7B" w:rsidP="00106DF8">
      <w:pPr>
        <w:spacing w:before="200"/>
        <w:rPr>
          <w:rFonts w:eastAsiaTheme="minorEastAsia"/>
        </w:rPr>
      </w:pPr>
      <w:r>
        <w:rPr>
          <w:rFonts w:eastAsiaTheme="minorEastAsia"/>
        </w:rPr>
        <w:t>National Institute for Health Research | The Lancet | 16</w:t>
      </w:r>
      <w:r w:rsidRPr="00784F7B">
        <w:rPr>
          <w:rFonts w:eastAsiaTheme="minorEastAsia"/>
          <w:vertAlign w:val="superscript"/>
        </w:rPr>
        <w:t>th</w:t>
      </w:r>
      <w:r>
        <w:rPr>
          <w:rFonts w:eastAsiaTheme="minorEastAsia"/>
        </w:rPr>
        <w:t xml:space="preserve"> July 2021</w:t>
      </w:r>
    </w:p>
    <w:p w:rsidR="00784F7B" w:rsidRPr="00784F7B" w:rsidRDefault="00784F7B" w:rsidP="00784F7B">
      <w:pPr>
        <w:spacing w:before="200"/>
        <w:rPr>
          <w:rFonts w:eastAsiaTheme="minorEastAsia"/>
        </w:rPr>
      </w:pPr>
      <w:r w:rsidRPr="00784F7B">
        <w:rPr>
          <w:rFonts w:eastAsiaTheme="minorEastAsia"/>
        </w:rPr>
        <w:t>A large-scale observational study published in The Lancet has found that one in two people hospitalised with COVID-19 during the first phase of the pandemic developed at least one health complication as a result of the viral infection.</w:t>
      </w:r>
    </w:p>
    <w:p w:rsidR="00784F7B" w:rsidRPr="00784F7B" w:rsidRDefault="00784F7B" w:rsidP="00784F7B">
      <w:pPr>
        <w:spacing w:before="200"/>
        <w:rPr>
          <w:rFonts w:eastAsiaTheme="minorEastAsia"/>
        </w:rPr>
      </w:pPr>
      <w:r w:rsidRPr="00784F7B">
        <w:rPr>
          <w:rFonts w:eastAsiaTheme="minorEastAsia"/>
        </w:rPr>
        <w:t>The ISARIC/CO-CIN study is the most comprehensive of its kind - and the first to systematically assess a range of in-hospital complications and their associations with age, sex and ethnicity - and their outcomes for the patients.</w:t>
      </w:r>
    </w:p>
    <w:p w:rsidR="00784F7B" w:rsidRPr="00784F7B" w:rsidRDefault="00784F7B" w:rsidP="00784F7B">
      <w:pPr>
        <w:spacing w:before="200"/>
        <w:rPr>
          <w:rFonts w:eastAsiaTheme="minorEastAsia"/>
        </w:rPr>
      </w:pPr>
      <w:r w:rsidRPr="00784F7B">
        <w:rPr>
          <w:rFonts w:eastAsiaTheme="minorEastAsia"/>
        </w:rPr>
        <w:t>The researchers assessed more than 70,000 hospitalised adult patients in the UK hospitalised with severe COVID-19 disease between January and August 2020. Of these, half (36,367 of 73,197) developed one or more health complication during their hospitalisation.</w:t>
      </w:r>
    </w:p>
    <w:p w:rsidR="00784F7B" w:rsidRPr="00784F7B" w:rsidRDefault="00784F7B" w:rsidP="00784F7B">
      <w:pPr>
        <w:spacing w:before="200"/>
        <w:rPr>
          <w:rFonts w:eastAsiaTheme="minorEastAsia"/>
        </w:rPr>
      </w:pPr>
      <w:r w:rsidRPr="00784F7B">
        <w:rPr>
          <w:rFonts w:eastAsiaTheme="minorEastAsia"/>
        </w:rPr>
        <w:t>The most common of these included:</w:t>
      </w:r>
    </w:p>
    <w:p w:rsidR="00784F7B" w:rsidRPr="00784F7B" w:rsidRDefault="00784F7B" w:rsidP="00784F7B">
      <w:pPr>
        <w:numPr>
          <w:ilvl w:val="0"/>
          <w:numId w:val="3"/>
        </w:numPr>
        <w:spacing w:before="200"/>
        <w:rPr>
          <w:rFonts w:eastAsiaTheme="minorEastAsia"/>
        </w:rPr>
      </w:pPr>
      <w:r w:rsidRPr="00784F7B">
        <w:rPr>
          <w:rFonts w:eastAsiaTheme="minorEastAsia"/>
        </w:rPr>
        <w:t>renal complications (24%, 17,752 participants);</w:t>
      </w:r>
    </w:p>
    <w:p w:rsidR="00784F7B" w:rsidRPr="00784F7B" w:rsidRDefault="00784F7B" w:rsidP="00784F7B">
      <w:pPr>
        <w:numPr>
          <w:ilvl w:val="0"/>
          <w:numId w:val="3"/>
        </w:numPr>
        <w:spacing w:before="200"/>
        <w:rPr>
          <w:rFonts w:eastAsiaTheme="minorEastAsia"/>
        </w:rPr>
      </w:pPr>
      <w:r w:rsidRPr="00784F7B">
        <w:rPr>
          <w:rFonts w:eastAsiaTheme="minorEastAsia"/>
        </w:rPr>
        <w:t>complex respiratory problems (18%, 13,486 participants);</w:t>
      </w:r>
    </w:p>
    <w:p w:rsidR="00784F7B" w:rsidRPr="00784F7B" w:rsidRDefault="00784F7B" w:rsidP="00784F7B">
      <w:pPr>
        <w:numPr>
          <w:ilvl w:val="0"/>
          <w:numId w:val="3"/>
        </w:numPr>
        <w:spacing w:before="200"/>
        <w:rPr>
          <w:rFonts w:eastAsiaTheme="minorEastAsia"/>
        </w:rPr>
      </w:pPr>
      <w:r w:rsidRPr="00784F7B">
        <w:rPr>
          <w:rFonts w:eastAsiaTheme="minorEastAsia"/>
        </w:rPr>
        <w:t>systemic complications (16%, 11,895 participants);</w:t>
      </w:r>
    </w:p>
    <w:p w:rsidR="00784F7B" w:rsidRPr="00784F7B" w:rsidRDefault="00784F7B" w:rsidP="00784F7B">
      <w:pPr>
        <w:numPr>
          <w:ilvl w:val="0"/>
          <w:numId w:val="3"/>
        </w:numPr>
        <w:spacing w:before="200"/>
        <w:rPr>
          <w:rFonts w:eastAsiaTheme="minorEastAsia"/>
        </w:rPr>
      </w:pPr>
      <w:r w:rsidRPr="00784F7B">
        <w:rPr>
          <w:rFonts w:eastAsiaTheme="minorEastAsia"/>
        </w:rPr>
        <w:t>cardiovascular problems (12%, 8,973 participants).</w:t>
      </w:r>
    </w:p>
    <w:p w:rsidR="00784F7B" w:rsidRDefault="00784F7B" w:rsidP="00784F7B">
      <w:pPr>
        <w:spacing w:before="200"/>
        <w:rPr>
          <w:rFonts w:eastAsiaTheme="minorEastAsia"/>
        </w:rPr>
      </w:pPr>
      <w:r w:rsidRPr="00784F7B">
        <w:rPr>
          <w:rFonts w:eastAsiaTheme="minorEastAsia"/>
        </w:rPr>
        <w:t>But neurological, gastrointestinal and liver complications were also reported. Specifically, the most common medical problems experienced by patients were acute kidney injury, probable acute respiratory distress syndrome, liver injury, anaemia, and cardiac arrhythmia.</w:t>
      </w:r>
    </w:p>
    <w:p w:rsidR="00065715" w:rsidRDefault="00065715" w:rsidP="00784F7B">
      <w:pPr>
        <w:spacing w:before="200"/>
        <w:rPr>
          <w:rFonts w:eastAsiaTheme="minorEastAsia"/>
        </w:rPr>
      </w:pPr>
      <w:r w:rsidRPr="00065715">
        <w:rPr>
          <w:rFonts w:eastAsiaTheme="minorEastAsia"/>
        </w:rPr>
        <w:t>Following hospitalisation, 27% (13,309 of 50,105) of patients were less able to look after themselves than before COVID-19, and this was more common with older age, being male, and in people who received critical care.</w:t>
      </w:r>
    </w:p>
    <w:p w:rsidR="00065715" w:rsidRDefault="00065715" w:rsidP="00784F7B">
      <w:pPr>
        <w:spacing w:before="200"/>
        <w:rPr>
          <w:rFonts w:eastAsiaTheme="minorEastAsia"/>
        </w:rPr>
      </w:pPr>
      <w:r w:rsidRPr="00065715">
        <w:rPr>
          <w:rFonts w:eastAsiaTheme="minorEastAsia"/>
        </w:rPr>
        <w:t xml:space="preserve">Further detail: </w:t>
      </w:r>
      <w:hyperlink r:id="rId38" w:tgtFrame="_blank" w:history="1">
        <w:r w:rsidRPr="00065715">
          <w:rPr>
            <w:rStyle w:val="Hyperlink"/>
            <w:rFonts w:eastAsiaTheme="minorEastAsia"/>
            <w:iCs/>
          </w:rPr>
          <w:t>Landmark study finds one in two hospitalised COVID-19 patients develop a complication</w:t>
        </w:r>
      </w:hyperlink>
    </w:p>
    <w:p w:rsidR="00784F7B" w:rsidRDefault="00065715" w:rsidP="00106DF8">
      <w:pPr>
        <w:spacing w:before="200"/>
        <w:rPr>
          <w:rFonts w:eastAsiaTheme="minorEastAsia"/>
        </w:rPr>
      </w:pPr>
      <w:r w:rsidRPr="00065715">
        <w:rPr>
          <w:rFonts w:eastAsiaTheme="minorEastAsia"/>
        </w:rPr>
        <w:t xml:space="preserve">Full research paper: </w:t>
      </w:r>
      <w:hyperlink r:id="rId39" w:tgtFrame="_blank" w:history="1">
        <w:r w:rsidRPr="00065715">
          <w:rPr>
            <w:rStyle w:val="Hyperlink"/>
            <w:rFonts w:eastAsiaTheme="minorEastAsia"/>
            <w:iCs/>
          </w:rPr>
          <w:t>Characterisation of in-hospital complications associated with COVID-19 using the ISARIC WHO Clinical Characterisation Protocol UK: a prospective, multicentre cohort study</w:t>
        </w:r>
      </w:hyperlink>
      <w:r w:rsidR="00BE1AC6">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E17FB" w:rsidRPr="005E17FB">
        <w:rPr>
          <w:rFonts w:eastAsiaTheme="minorEastAsia"/>
          <w:caps/>
          <w:spacing w:val="15"/>
        </w:rPr>
        <w:t>Alcohol consumption and harm during the COVID-19 pandemic</w:t>
      </w:r>
    </w:p>
    <w:p w:rsidR="00106DF8" w:rsidRDefault="005E17FB" w:rsidP="005E17FB">
      <w:pPr>
        <w:spacing w:before="200"/>
        <w:rPr>
          <w:rFonts w:eastAsiaTheme="minorEastAsia"/>
        </w:rPr>
      </w:pPr>
      <w:r w:rsidRPr="005E17FB">
        <w:rPr>
          <w:rFonts w:eastAsiaTheme="minorEastAsia"/>
        </w:rPr>
        <w:t>Public Health England</w:t>
      </w:r>
      <w:r>
        <w:rPr>
          <w:rFonts w:eastAsiaTheme="minorEastAsia"/>
        </w:rPr>
        <w:t xml:space="preserve"> | 15</w:t>
      </w:r>
      <w:r w:rsidRPr="005E17FB">
        <w:rPr>
          <w:rFonts w:eastAsiaTheme="minorEastAsia"/>
          <w:vertAlign w:val="superscript"/>
        </w:rPr>
        <w:t>th</w:t>
      </w:r>
      <w:r>
        <w:rPr>
          <w:rFonts w:eastAsiaTheme="minorEastAsia"/>
        </w:rPr>
        <w:t xml:space="preserve"> July 2021</w:t>
      </w:r>
    </w:p>
    <w:p w:rsidR="005E17FB" w:rsidRPr="005E17FB" w:rsidRDefault="005E17FB" w:rsidP="005E17FB">
      <w:pPr>
        <w:spacing w:before="200"/>
        <w:rPr>
          <w:rFonts w:eastAsiaTheme="minorEastAsia"/>
        </w:rPr>
      </w:pPr>
      <w:r w:rsidRPr="005E17FB">
        <w:rPr>
          <w:rFonts w:eastAsiaTheme="minorEastAsia"/>
        </w:rPr>
        <w:t>Public Health England (PHE) has published the trends in alcohol consumption and harm since the onset of the coronavirus (COVID-19) pandemic.</w:t>
      </w:r>
      <w:r>
        <w:rPr>
          <w:rFonts w:eastAsiaTheme="minorEastAsia"/>
        </w:rPr>
        <w:t xml:space="preserve"> </w:t>
      </w:r>
      <w:r w:rsidRPr="005E17FB">
        <w:rPr>
          <w:rFonts w:eastAsiaTheme="minorEastAsia"/>
        </w:rPr>
        <w:t>The report improves our understanding of how alcohol consumption and harm changed in England while physical and social restrictions to prevent and control coronavirus were in place.</w:t>
      </w:r>
    </w:p>
    <w:p w:rsidR="005E17FB" w:rsidRPr="005E17FB" w:rsidRDefault="005E17FB" w:rsidP="005E17FB">
      <w:pPr>
        <w:spacing w:before="200"/>
        <w:rPr>
          <w:rFonts w:eastAsiaTheme="minorEastAsia"/>
        </w:rPr>
      </w:pPr>
      <w:r w:rsidRPr="005E17FB">
        <w:rPr>
          <w:rFonts w:eastAsiaTheme="minorEastAsia"/>
        </w:rPr>
        <w:t>The findings help to understand whether pandemic-related changes have affected rates of alcohol hospital admissions and deaths as well as health inequalities. They will also help inform appropriate policy responses.</w:t>
      </w:r>
    </w:p>
    <w:p w:rsidR="005E17FB" w:rsidRDefault="005E17FB" w:rsidP="005E17FB">
      <w:pPr>
        <w:spacing w:before="200"/>
        <w:rPr>
          <w:rFonts w:eastAsiaTheme="minorEastAsia"/>
        </w:rPr>
      </w:pPr>
      <w:r w:rsidRPr="005E17FB">
        <w:rPr>
          <w:rFonts w:eastAsiaTheme="minorEastAsia"/>
        </w:rPr>
        <w:t>The findings are based on the latest data a</w:t>
      </w:r>
      <w:r>
        <w:rPr>
          <w:rFonts w:eastAsiaTheme="minorEastAsia"/>
        </w:rPr>
        <w:t>nd information available to PHE and show</w:t>
      </w:r>
      <w:r w:rsidRPr="005E17FB">
        <w:rPr>
          <w:rFonts w:eastAsiaTheme="minorEastAsia"/>
        </w:rPr>
        <w:t xml:space="preserve"> an increase in total alcohol-specific deaths, driven by an unprecedented annual increase in alcoholic liver disease deaths above levels seen pre-pandemic.</w:t>
      </w:r>
    </w:p>
    <w:p w:rsidR="005E17FB" w:rsidRPr="005E17FB" w:rsidRDefault="005E17FB" w:rsidP="005E17FB">
      <w:pPr>
        <w:spacing w:before="200"/>
        <w:rPr>
          <w:rFonts w:eastAsiaTheme="minorEastAsia"/>
        </w:rPr>
      </w:pPr>
      <w:r>
        <w:rPr>
          <w:rFonts w:eastAsiaTheme="minorEastAsia"/>
        </w:rPr>
        <w:t xml:space="preserve">Full detail: </w:t>
      </w:r>
      <w:hyperlink r:id="rId40" w:history="1">
        <w:r w:rsidRPr="005E17FB">
          <w:rPr>
            <w:rStyle w:val="Hyperlink"/>
            <w:rFonts w:eastAsiaTheme="minorEastAsia"/>
          </w:rPr>
          <w:t>Monitoring alcohol consumption and harm during the COVID-19 pandemic</w:t>
        </w:r>
      </w:hyperlink>
    </w:p>
    <w:p w:rsidR="005E17FB" w:rsidRDefault="005E17FB" w:rsidP="005E17FB">
      <w:pPr>
        <w:spacing w:before="200"/>
        <w:rPr>
          <w:rFonts w:eastAsiaTheme="minorEastAsia"/>
        </w:rPr>
      </w:pPr>
      <w:r>
        <w:rPr>
          <w:rFonts w:eastAsiaTheme="minorEastAsia"/>
        </w:rPr>
        <w:t xml:space="preserve">Press release: </w:t>
      </w:r>
      <w:hyperlink r:id="rId41" w:history="1">
        <w:r w:rsidRPr="005E17FB">
          <w:rPr>
            <w:rStyle w:val="Hyperlink"/>
            <w:rFonts w:eastAsiaTheme="minorEastAsia"/>
          </w:rPr>
          <w:t>Alcoholic liver deaths increased by 21% during year of the pandemic</w:t>
        </w:r>
      </w:hyperlink>
      <w:r w:rsidR="0005368D">
        <w:rPr>
          <w:rFonts w:eastAsiaTheme="minorEastAsia"/>
        </w:rPr>
        <w:t xml:space="preserve"> </w:t>
      </w:r>
      <w:r>
        <w:rPr>
          <w:rFonts w:eastAsiaTheme="minorEastAsia"/>
        </w:rPr>
        <w:br/>
      </w:r>
    </w:p>
    <w:p w:rsidR="00106DF8" w:rsidRDefault="00106DF8" w:rsidP="0005368D">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05368D" w:rsidRPr="0005368D">
        <w:rPr>
          <w:rFonts w:eastAsiaTheme="minorEastAsia"/>
          <w:caps/>
          <w:spacing w:val="15"/>
        </w:rPr>
        <w:t>COVID-19 and Social Exclusion: Experiences of older</w:t>
      </w:r>
      <w:r w:rsidR="0005368D">
        <w:rPr>
          <w:rFonts w:eastAsiaTheme="minorEastAsia"/>
          <w:caps/>
          <w:spacing w:val="15"/>
        </w:rPr>
        <w:t xml:space="preserve"> </w:t>
      </w:r>
      <w:r w:rsidR="0005368D" w:rsidRPr="0005368D">
        <w:rPr>
          <w:rFonts w:eastAsiaTheme="minorEastAsia"/>
          <w:caps/>
          <w:spacing w:val="15"/>
        </w:rPr>
        <w:t>people living in areas of multiple deprivation</w:t>
      </w:r>
    </w:p>
    <w:p w:rsidR="00106DF8" w:rsidRDefault="00B33F45" w:rsidP="00106DF8">
      <w:pPr>
        <w:spacing w:before="200"/>
        <w:rPr>
          <w:rFonts w:eastAsiaTheme="minorEastAsia"/>
        </w:rPr>
      </w:pPr>
      <w:r w:rsidRPr="00B33F45">
        <w:rPr>
          <w:rFonts w:eastAsiaTheme="minorEastAsia"/>
        </w:rPr>
        <w:t xml:space="preserve">University of Manchester’s Institute for Collaborative Research on Ageing </w:t>
      </w:r>
      <w:r>
        <w:rPr>
          <w:rFonts w:eastAsiaTheme="minorEastAsia"/>
        </w:rPr>
        <w:t>| 12</w:t>
      </w:r>
      <w:r w:rsidRPr="00B33F45">
        <w:rPr>
          <w:rFonts w:eastAsiaTheme="minorEastAsia"/>
          <w:vertAlign w:val="superscript"/>
        </w:rPr>
        <w:t>th</w:t>
      </w:r>
      <w:r>
        <w:rPr>
          <w:rFonts w:eastAsiaTheme="minorEastAsia"/>
        </w:rPr>
        <w:t xml:space="preserve"> July 2021</w:t>
      </w:r>
    </w:p>
    <w:p w:rsidR="00B33F45" w:rsidRPr="00B33F45" w:rsidRDefault="00B33F45" w:rsidP="00B33F45">
      <w:pPr>
        <w:spacing w:before="200"/>
        <w:rPr>
          <w:rFonts w:eastAsiaTheme="minorEastAsia"/>
        </w:rPr>
      </w:pPr>
      <w:r w:rsidRPr="00B33F45">
        <w:rPr>
          <w:rFonts w:eastAsiaTheme="minorEastAsia"/>
        </w:rPr>
        <w:t>A new report by The University of Manchester’s Institute for Collaborative Research on Ageing (MI</w:t>
      </w:r>
      <w:r>
        <w:rPr>
          <w:rFonts w:eastAsiaTheme="minorEastAsia"/>
        </w:rPr>
        <w:t>CRA) has revealed the challenges</w:t>
      </w:r>
      <w:r w:rsidRPr="00B33F45">
        <w:rPr>
          <w:rFonts w:eastAsiaTheme="minorEastAsia"/>
        </w:rPr>
        <w:t xml:space="preserve"> faced during the coronavirus pandemic by people aged 50 and over, especially those living in deprived areas.</w:t>
      </w:r>
    </w:p>
    <w:p w:rsidR="00B33F45" w:rsidRPr="00B33F45" w:rsidRDefault="00B33F45" w:rsidP="00B33F45">
      <w:pPr>
        <w:spacing w:before="200"/>
        <w:rPr>
          <w:rFonts w:eastAsiaTheme="minorEastAsia"/>
        </w:rPr>
      </w:pPr>
      <w:r w:rsidRPr="00B33F45">
        <w:rPr>
          <w:rFonts w:eastAsiaTheme="minorEastAsia"/>
        </w:rPr>
        <w:t>The research was designed to learn about the pandemic’s impact on the everyday lives of older people, to examine the activities of community organisations working on their behalf, and to assist the local authorities and NGOs who work with them.</w:t>
      </w:r>
    </w:p>
    <w:p w:rsidR="00B33F45" w:rsidRDefault="00B33F45" w:rsidP="00B33F45">
      <w:pPr>
        <w:spacing w:before="200"/>
        <w:rPr>
          <w:rFonts w:eastAsiaTheme="minorEastAsia"/>
        </w:rPr>
      </w:pPr>
      <w:r w:rsidRPr="00B33F45">
        <w:rPr>
          <w:rFonts w:eastAsiaTheme="minorEastAsia"/>
        </w:rPr>
        <w:t>Many of those interviewed spoke of the challenges and difficulties experienced during the lockdown. Physical deterioration was reported – especially as a result of restricted mobility and lack of exercise – and mental health deteriorated in some cases through the effects of losing relatives, lack of contact with friends and family, the impact of shielding, and lack of access to meeting places.</w:t>
      </w:r>
    </w:p>
    <w:p w:rsidR="00B33F45" w:rsidRDefault="00B33F45" w:rsidP="00B33F45">
      <w:pPr>
        <w:spacing w:before="200"/>
        <w:rPr>
          <w:rFonts w:eastAsiaTheme="minorEastAsia"/>
        </w:rPr>
      </w:pPr>
      <w:r>
        <w:rPr>
          <w:rFonts w:eastAsiaTheme="minorEastAsia"/>
        </w:rPr>
        <w:t xml:space="preserve">Full report: </w:t>
      </w:r>
      <w:hyperlink r:id="rId42" w:history="1">
        <w:r w:rsidRPr="00B33F45">
          <w:rPr>
            <w:rStyle w:val="Hyperlink"/>
            <w:rFonts w:eastAsiaTheme="minorEastAsia"/>
          </w:rPr>
          <w:t>COVID-19 and Social Exclusion: Experiences of older people living in areas of multiple deprivation</w:t>
        </w:r>
      </w:hyperlink>
    </w:p>
    <w:p w:rsidR="00B33F45" w:rsidRPr="00B33F45" w:rsidRDefault="00B33F45" w:rsidP="00B33F45">
      <w:pPr>
        <w:spacing w:before="200"/>
        <w:rPr>
          <w:rFonts w:eastAsiaTheme="minorEastAsia"/>
        </w:rPr>
      </w:pPr>
      <w:r>
        <w:rPr>
          <w:rFonts w:eastAsiaTheme="minorEastAsia"/>
        </w:rPr>
        <w:t xml:space="preserve">Press release: </w:t>
      </w:r>
      <w:hyperlink r:id="rId43" w:history="1">
        <w:r w:rsidRPr="00B33F45">
          <w:rPr>
            <w:rStyle w:val="Hyperlink"/>
            <w:rFonts w:eastAsiaTheme="minorEastAsia"/>
          </w:rPr>
          <w:t>New research reveals challenges faced by older people during pandemic</w:t>
        </w:r>
      </w:hyperlink>
    </w:p>
    <w:p w:rsidR="00627D72" w:rsidRDefault="00627D72" w:rsidP="00627D72">
      <w:pPr>
        <w:spacing w:before="200"/>
        <w:rPr>
          <w:rFonts w:eastAsiaTheme="minorEastAsia"/>
          <w:sz w:val="20"/>
          <w:szCs w:val="20"/>
        </w:rPr>
      </w:pPr>
      <w:bookmarkStart w:id="1" w:name="_GoBack"/>
      <w:bookmarkEnd w:id="1"/>
    </w:p>
    <w:p w:rsidR="00106DF8" w:rsidRPr="00627D72" w:rsidRDefault="00106DF8" w:rsidP="00627D72">
      <w:pPr>
        <w:spacing w:before="200"/>
        <w:rPr>
          <w:rFonts w:eastAsiaTheme="minorEastAsia"/>
          <w:sz w:val="20"/>
          <w:szCs w:val="20"/>
        </w:rPr>
      </w:pPr>
    </w:p>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FB2FFA" w:rsidP="00370427">
                            <w:pPr>
                              <w:jc w:val="center"/>
                              <w:rPr>
                                <w:rFonts w:ascii="Calibri" w:eastAsia="Calibri" w:hAnsi="Calibri" w:cs="Times New Roman"/>
                              </w:rPr>
                            </w:pPr>
                            <w:hyperlink r:id="rId44"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45"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46"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47"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48"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FB2FFA" w:rsidP="00370427">
                            <w:pPr>
                              <w:jc w:val="center"/>
                              <w:rPr>
                                <w:rFonts w:ascii="Calibri" w:eastAsia="Calibri" w:hAnsi="Calibri" w:cs="Times New Roman"/>
                                <w:color w:val="339966"/>
                              </w:rPr>
                            </w:pPr>
                            <w:hyperlink r:id="rId49"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FB2FFA" w:rsidP="00370427">
                      <w:pPr>
                        <w:jc w:val="center"/>
                        <w:rPr>
                          <w:rFonts w:ascii="Calibri" w:eastAsia="Calibri" w:hAnsi="Calibri" w:cs="Times New Roman"/>
                        </w:rPr>
                      </w:pPr>
                      <w:hyperlink r:id="rId50"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51"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52"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53"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54"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FB2FFA" w:rsidP="00370427">
                      <w:pPr>
                        <w:jc w:val="center"/>
                        <w:rPr>
                          <w:rFonts w:ascii="Calibri" w:eastAsia="Calibri" w:hAnsi="Calibri" w:cs="Times New Roman"/>
                          <w:color w:val="339966"/>
                        </w:rPr>
                      </w:pPr>
                      <w:hyperlink r:id="rId55"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56"/>
      <w:footerReference w:type="default" r:id="rId57"/>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FB2FFA">
          <w:rPr>
            <w:noProof/>
          </w:rPr>
          <w:t>1</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24A84"/>
    <w:multiLevelType w:val="multilevel"/>
    <w:tmpl w:val="D830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FC3213"/>
    <w:multiLevelType w:val="multilevel"/>
    <w:tmpl w:val="5CC8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1A3F84"/>
    <w:multiLevelType w:val="hybridMultilevel"/>
    <w:tmpl w:val="DB2A6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7C00"/>
    <w:rsid w:val="00041E0B"/>
    <w:rsid w:val="00046298"/>
    <w:rsid w:val="000510BA"/>
    <w:rsid w:val="000517A9"/>
    <w:rsid w:val="00051BFC"/>
    <w:rsid w:val="00052367"/>
    <w:rsid w:val="0005368D"/>
    <w:rsid w:val="00065715"/>
    <w:rsid w:val="00065A47"/>
    <w:rsid w:val="00070262"/>
    <w:rsid w:val="000749B7"/>
    <w:rsid w:val="00075E06"/>
    <w:rsid w:val="00077250"/>
    <w:rsid w:val="00081B0B"/>
    <w:rsid w:val="000A2968"/>
    <w:rsid w:val="000A5857"/>
    <w:rsid w:val="000B145B"/>
    <w:rsid w:val="000B185D"/>
    <w:rsid w:val="000B2681"/>
    <w:rsid w:val="000B49FE"/>
    <w:rsid w:val="000C0D16"/>
    <w:rsid w:val="000C3101"/>
    <w:rsid w:val="000D4062"/>
    <w:rsid w:val="000F6DFC"/>
    <w:rsid w:val="0010329F"/>
    <w:rsid w:val="00105EDC"/>
    <w:rsid w:val="00106DF8"/>
    <w:rsid w:val="001134DA"/>
    <w:rsid w:val="00116A60"/>
    <w:rsid w:val="00153F4C"/>
    <w:rsid w:val="00154AAD"/>
    <w:rsid w:val="001838F3"/>
    <w:rsid w:val="00191A5C"/>
    <w:rsid w:val="001A44E9"/>
    <w:rsid w:val="001A72B7"/>
    <w:rsid w:val="001C0189"/>
    <w:rsid w:val="001C2EBC"/>
    <w:rsid w:val="001C5EDB"/>
    <w:rsid w:val="001D22B9"/>
    <w:rsid w:val="001D7A12"/>
    <w:rsid w:val="001E1F53"/>
    <w:rsid w:val="001E7349"/>
    <w:rsid w:val="001F4948"/>
    <w:rsid w:val="00244F90"/>
    <w:rsid w:val="00250BB8"/>
    <w:rsid w:val="0025346E"/>
    <w:rsid w:val="00265644"/>
    <w:rsid w:val="002765D2"/>
    <w:rsid w:val="002904BE"/>
    <w:rsid w:val="00295936"/>
    <w:rsid w:val="00296882"/>
    <w:rsid w:val="002A10B7"/>
    <w:rsid w:val="002A4F0F"/>
    <w:rsid w:val="002B21DC"/>
    <w:rsid w:val="002B23D9"/>
    <w:rsid w:val="002C3154"/>
    <w:rsid w:val="002C4727"/>
    <w:rsid w:val="002E5198"/>
    <w:rsid w:val="002E7648"/>
    <w:rsid w:val="002F5887"/>
    <w:rsid w:val="002F7CA7"/>
    <w:rsid w:val="003016A7"/>
    <w:rsid w:val="003127D8"/>
    <w:rsid w:val="00312B4D"/>
    <w:rsid w:val="00320740"/>
    <w:rsid w:val="00322F38"/>
    <w:rsid w:val="00346DA2"/>
    <w:rsid w:val="00360A45"/>
    <w:rsid w:val="00370427"/>
    <w:rsid w:val="00371AC6"/>
    <w:rsid w:val="0037350E"/>
    <w:rsid w:val="00373799"/>
    <w:rsid w:val="00374690"/>
    <w:rsid w:val="00384555"/>
    <w:rsid w:val="003902AC"/>
    <w:rsid w:val="003A3F8E"/>
    <w:rsid w:val="003A63FA"/>
    <w:rsid w:val="003B07B1"/>
    <w:rsid w:val="003B62A2"/>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378D"/>
    <w:rsid w:val="0042582F"/>
    <w:rsid w:val="00425B8A"/>
    <w:rsid w:val="00441D07"/>
    <w:rsid w:val="00445BC5"/>
    <w:rsid w:val="00455ACC"/>
    <w:rsid w:val="00465205"/>
    <w:rsid w:val="00465751"/>
    <w:rsid w:val="00474E61"/>
    <w:rsid w:val="00490236"/>
    <w:rsid w:val="004913E3"/>
    <w:rsid w:val="00491EA6"/>
    <w:rsid w:val="00492E7A"/>
    <w:rsid w:val="00497927"/>
    <w:rsid w:val="00497B10"/>
    <w:rsid w:val="004B5354"/>
    <w:rsid w:val="004C0610"/>
    <w:rsid w:val="004F54C5"/>
    <w:rsid w:val="005048C8"/>
    <w:rsid w:val="005134CC"/>
    <w:rsid w:val="00514A07"/>
    <w:rsid w:val="005211A0"/>
    <w:rsid w:val="00532079"/>
    <w:rsid w:val="00563DCF"/>
    <w:rsid w:val="00565844"/>
    <w:rsid w:val="00567E1C"/>
    <w:rsid w:val="00567F03"/>
    <w:rsid w:val="00570A36"/>
    <w:rsid w:val="00572CC2"/>
    <w:rsid w:val="00576758"/>
    <w:rsid w:val="00592C31"/>
    <w:rsid w:val="005A1100"/>
    <w:rsid w:val="005A4E8F"/>
    <w:rsid w:val="005A6F07"/>
    <w:rsid w:val="005C56A0"/>
    <w:rsid w:val="005C59FD"/>
    <w:rsid w:val="005E077A"/>
    <w:rsid w:val="005E17FB"/>
    <w:rsid w:val="005F1664"/>
    <w:rsid w:val="00600B36"/>
    <w:rsid w:val="00606DC5"/>
    <w:rsid w:val="00611A1C"/>
    <w:rsid w:val="0062508C"/>
    <w:rsid w:val="00627D72"/>
    <w:rsid w:val="006857CB"/>
    <w:rsid w:val="00697502"/>
    <w:rsid w:val="006E09E5"/>
    <w:rsid w:val="006F7BC1"/>
    <w:rsid w:val="00700BA3"/>
    <w:rsid w:val="00725E20"/>
    <w:rsid w:val="00731145"/>
    <w:rsid w:val="007336FB"/>
    <w:rsid w:val="00742549"/>
    <w:rsid w:val="007564F4"/>
    <w:rsid w:val="007807CE"/>
    <w:rsid w:val="00781494"/>
    <w:rsid w:val="00781D6C"/>
    <w:rsid w:val="00784F7B"/>
    <w:rsid w:val="007868FE"/>
    <w:rsid w:val="007A0AFE"/>
    <w:rsid w:val="007A6D82"/>
    <w:rsid w:val="007E2026"/>
    <w:rsid w:val="007E736F"/>
    <w:rsid w:val="007F1243"/>
    <w:rsid w:val="007F31EF"/>
    <w:rsid w:val="007F331F"/>
    <w:rsid w:val="007F70B9"/>
    <w:rsid w:val="0080755F"/>
    <w:rsid w:val="00811472"/>
    <w:rsid w:val="00824783"/>
    <w:rsid w:val="00824863"/>
    <w:rsid w:val="00827678"/>
    <w:rsid w:val="00836C56"/>
    <w:rsid w:val="00837C32"/>
    <w:rsid w:val="008544CB"/>
    <w:rsid w:val="008563A9"/>
    <w:rsid w:val="00860C58"/>
    <w:rsid w:val="00862782"/>
    <w:rsid w:val="00874AB8"/>
    <w:rsid w:val="008908D7"/>
    <w:rsid w:val="008914DD"/>
    <w:rsid w:val="008A42F4"/>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6BE9"/>
    <w:rsid w:val="009B4182"/>
    <w:rsid w:val="009B41E1"/>
    <w:rsid w:val="009B5573"/>
    <w:rsid w:val="009C3768"/>
    <w:rsid w:val="009D1D3B"/>
    <w:rsid w:val="009E5482"/>
    <w:rsid w:val="009F0172"/>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773A"/>
    <w:rsid w:val="00B33F45"/>
    <w:rsid w:val="00B36AFD"/>
    <w:rsid w:val="00B547CD"/>
    <w:rsid w:val="00B73C50"/>
    <w:rsid w:val="00B74226"/>
    <w:rsid w:val="00B86F1B"/>
    <w:rsid w:val="00B90455"/>
    <w:rsid w:val="00B9520E"/>
    <w:rsid w:val="00BA1AA0"/>
    <w:rsid w:val="00BB62CC"/>
    <w:rsid w:val="00BE1AC6"/>
    <w:rsid w:val="00BE7BE3"/>
    <w:rsid w:val="00BF2AD4"/>
    <w:rsid w:val="00C250C0"/>
    <w:rsid w:val="00C2529B"/>
    <w:rsid w:val="00C4515A"/>
    <w:rsid w:val="00C470CD"/>
    <w:rsid w:val="00C570C4"/>
    <w:rsid w:val="00C739C0"/>
    <w:rsid w:val="00C73D78"/>
    <w:rsid w:val="00C8078C"/>
    <w:rsid w:val="00C86CF9"/>
    <w:rsid w:val="00C87C28"/>
    <w:rsid w:val="00C91654"/>
    <w:rsid w:val="00C96982"/>
    <w:rsid w:val="00CC3BBA"/>
    <w:rsid w:val="00CD3471"/>
    <w:rsid w:val="00CE02E0"/>
    <w:rsid w:val="00CE08CF"/>
    <w:rsid w:val="00CE1D0C"/>
    <w:rsid w:val="00CE68A5"/>
    <w:rsid w:val="00CF7992"/>
    <w:rsid w:val="00D151A7"/>
    <w:rsid w:val="00D30D2A"/>
    <w:rsid w:val="00D52256"/>
    <w:rsid w:val="00D638FB"/>
    <w:rsid w:val="00D6477B"/>
    <w:rsid w:val="00D65F29"/>
    <w:rsid w:val="00D70CA7"/>
    <w:rsid w:val="00D822ED"/>
    <w:rsid w:val="00D838D4"/>
    <w:rsid w:val="00D84FD6"/>
    <w:rsid w:val="00DA0B65"/>
    <w:rsid w:val="00DA27A3"/>
    <w:rsid w:val="00DA2A77"/>
    <w:rsid w:val="00DA3607"/>
    <w:rsid w:val="00DA6BCE"/>
    <w:rsid w:val="00DB5D0D"/>
    <w:rsid w:val="00DC1AC6"/>
    <w:rsid w:val="00DE2AF0"/>
    <w:rsid w:val="00DE33B3"/>
    <w:rsid w:val="00DE4846"/>
    <w:rsid w:val="00DE7158"/>
    <w:rsid w:val="00DF38F1"/>
    <w:rsid w:val="00E023EF"/>
    <w:rsid w:val="00E0576B"/>
    <w:rsid w:val="00E12F39"/>
    <w:rsid w:val="00E13113"/>
    <w:rsid w:val="00E259E1"/>
    <w:rsid w:val="00E30BAE"/>
    <w:rsid w:val="00E3524C"/>
    <w:rsid w:val="00E53AFD"/>
    <w:rsid w:val="00E5674F"/>
    <w:rsid w:val="00E62C16"/>
    <w:rsid w:val="00E72425"/>
    <w:rsid w:val="00E7640D"/>
    <w:rsid w:val="00E85AFD"/>
    <w:rsid w:val="00E9159A"/>
    <w:rsid w:val="00E92995"/>
    <w:rsid w:val="00ED09B2"/>
    <w:rsid w:val="00ED4843"/>
    <w:rsid w:val="00EE4ED1"/>
    <w:rsid w:val="00F06475"/>
    <w:rsid w:val="00F06615"/>
    <w:rsid w:val="00F26A88"/>
    <w:rsid w:val="00F363D3"/>
    <w:rsid w:val="00F40EF6"/>
    <w:rsid w:val="00F534B4"/>
    <w:rsid w:val="00F61231"/>
    <w:rsid w:val="00F74E67"/>
    <w:rsid w:val="00F75D44"/>
    <w:rsid w:val="00F775BF"/>
    <w:rsid w:val="00F81CC1"/>
    <w:rsid w:val="00F923D4"/>
    <w:rsid w:val="00F97E75"/>
    <w:rsid w:val="00FA1357"/>
    <w:rsid w:val="00FA2BE8"/>
    <w:rsid w:val="00FB2FFA"/>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CAC7910"/>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05684637">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451577">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34833759">
      <w:bodyDiv w:val="1"/>
      <w:marLeft w:val="0"/>
      <w:marRight w:val="0"/>
      <w:marTop w:val="0"/>
      <w:marBottom w:val="0"/>
      <w:divBdr>
        <w:top w:val="none" w:sz="0" w:space="0" w:color="auto"/>
        <w:left w:val="none" w:sz="0" w:space="0" w:color="auto"/>
        <w:bottom w:val="none" w:sz="0" w:space="0" w:color="auto"/>
        <w:right w:val="none" w:sz="0" w:space="0" w:color="auto"/>
      </w:divBdr>
    </w:div>
    <w:div w:id="454175137">
      <w:bodyDiv w:val="1"/>
      <w:marLeft w:val="0"/>
      <w:marRight w:val="0"/>
      <w:marTop w:val="0"/>
      <w:marBottom w:val="0"/>
      <w:divBdr>
        <w:top w:val="none" w:sz="0" w:space="0" w:color="auto"/>
        <w:left w:val="none" w:sz="0" w:space="0" w:color="auto"/>
        <w:bottom w:val="none" w:sz="0" w:space="0" w:color="auto"/>
        <w:right w:val="none" w:sz="0" w:space="0" w:color="auto"/>
      </w:divBdr>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1773293">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0786969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5938730">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4382300">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03387945">
      <w:bodyDiv w:val="1"/>
      <w:marLeft w:val="0"/>
      <w:marRight w:val="0"/>
      <w:marTop w:val="0"/>
      <w:marBottom w:val="0"/>
      <w:divBdr>
        <w:top w:val="none" w:sz="0" w:space="0" w:color="auto"/>
        <w:left w:val="none" w:sz="0" w:space="0" w:color="auto"/>
        <w:bottom w:val="none" w:sz="0" w:space="0" w:color="auto"/>
        <w:right w:val="none" w:sz="0" w:space="0" w:color="auto"/>
      </w:divBdr>
      <w:divsChild>
        <w:div w:id="2034844871">
          <w:marLeft w:val="0"/>
          <w:marRight w:val="0"/>
          <w:marTop w:val="0"/>
          <w:marBottom w:val="0"/>
          <w:divBdr>
            <w:top w:val="none" w:sz="0" w:space="0" w:color="auto"/>
            <w:left w:val="none" w:sz="0" w:space="0" w:color="auto"/>
            <w:bottom w:val="none" w:sz="0" w:space="0" w:color="auto"/>
            <w:right w:val="none" w:sz="0" w:space="0" w:color="auto"/>
          </w:divBdr>
          <w:divsChild>
            <w:div w:id="237518562">
              <w:marLeft w:val="0"/>
              <w:marRight w:val="0"/>
              <w:marTop w:val="0"/>
              <w:marBottom w:val="0"/>
              <w:divBdr>
                <w:top w:val="none" w:sz="0" w:space="0" w:color="auto"/>
                <w:left w:val="none" w:sz="0" w:space="0" w:color="auto"/>
                <w:bottom w:val="none" w:sz="0" w:space="0" w:color="auto"/>
                <w:right w:val="none" w:sz="0" w:space="0" w:color="auto"/>
              </w:divBdr>
              <w:divsChild>
                <w:div w:id="199918914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35691974">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37505187">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15478689">
      <w:bodyDiv w:val="1"/>
      <w:marLeft w:val="0"/>
      <w:marRight w:val="0"/>
      <w:marTop w:val="0"/>
      <w:marBottom w:val="0"/>
      <w:divBdr>
        <w:top w:val="none" w:sz="0" w:space="0" w:color="auto"/>
        <w:left w:val="none" w:sz="0" w:space="0" w:color="auto"/>
        <w:bottom w:val="none" w:sz="0" w:space="0" w:color="auto"/>
        <w:right w:val="none" w:sz="0" w:space="0" w:color="auto"/>
      </w:divBdr>
      <w:divsChild>
        <w:div w:id="1746756300">
          <w:marLeft w:val="0"/>
          <w:marRight w:val="0"/>
          <w:marTop w:val="0"/>
          <w:marBottom w:val="0"/>
          <w:divBdr>
            <w:top w:val="none" w:sz="0" w:space="0" w:color="auto"/>
            <w:left w:val="none" w:sz="0" w:space="0" w:color="auto"/>
            <w:bottom w:val="none" w:sz="0" w:space="0" w:color="auto"/>
            <w:right w:val="none" w:sz="0" w:space="0" w:color="auto"/>
          </w:divBdr>
        </w:div>
      </w:divsChild>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03280872">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44796738">
      <w:bodyDiv w:val="1"/>
      <w:marLeft w:val="0"/>
      <w:marRight w:val="0"/>
      <w:marTop w:val="0"/>
      <w:marBottom w:val="0"/>
      <w:divBdr>
        <w:top w:val="none" w:sz="0" w:space="0" w:color="auto"/>
        <w:left w:val="none" w:sz="0" w:space="0" w:color="auto"/>
        <w:bottom w:val="none" w:sz="0" w:space="0" w:color="auto"/>
        <w:right w:val="none" w:sz="0" w:space="0" w:color="auto"/>
      </w:divBdr>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1485375">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795711342">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67663417">
      <w:bodyDiv w:val="1"/>
      <w:marLeft w:val="0"/>
      <w:marRight w:val="0"/>
      <w:marTop w:val="0"/>
      <w:marBottom w:val="0"/>
      <w:divBdr>
        <w:top w:val="none" w:sz="0" w:space="0" w:color="auto"/>
        <w:left w:val="none" w:sz="0" w:space="0" w:color="auto"/>
        <w:bottom w:val="none" w:sz="0" w:space="0" w:color="auto"/>
        <w:right w:val="none" w:sz="0" w:space="0" w:color="auto"/>
      </w:divBdr>
      <w:divsChild>
        <w:div w:id="1573277805">
          <w:marLeft w:val="0"/>
          <w:marRight w:val="0"/>
          <w:marTop w:val="150"/>
          <w:marBottom w:val="270"/>
          <w:divBdr>
            <w:top w:val="none" w:sz="0" w:space="0" w:color="auto"/>
            <w:left w:val="none" w:sz="0" w:space="0" w:color="auto"/>
            <w:bottom w:val="none" w:sz="0" w:space="0" w:color="auto"/>
            <w:right w:val="none" w:sz="0" w:space="0" w:color="auto"/>
          </w:divBdr>
        </w:div>
      </w:divsChild>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11197289">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mj.com/content/374/bmj.n1789" TargetMode="External"/><Relationship Id="rId18" Type="http://schemas.openxmlformats.org/officeDocument/2006/relationships/hyperlink" Target="https://www.nature.com/articles/d41586-021-01938-4" TargetMode="External"/><Relationship Id="rId26" Type="http://schemas.openxmlformats.org/officeDocument/2006/relationships/hyperlink" Target="https://acmedsci.ac.uk/file-download/38576298" TargetMode="External"/><Relationship Id="rId39" Type="http://schemas.openxmlformats.org/officeDocument/2006/relationships/hyperlink" Target="https://www.thelancet.com/action/showPdf?pii=S0140-6736%2821%2900799-6" TargetMode="External"/><Relationship Id="rId21" Type="http://schemas.openxmlformats.org/officeDocument/2006/relationships/hyperlink" Target="https://www.bmj.com/content/374/bmj.n1762" TargetMode="External"/><Relationship Id="rId34" Type="http://schemas.openxmlformats.org/officeDocument/2006/relationships/hyperlink" Target="https://www.thelancet.com/journals/lanres/article/PIIS2213-2600(21)00318-0/fulltext" TargetMode="External"/><Relationship Id="rId42" Type="http://schemas.openxmlformats.org/officeDocument/2006/relationships/hyperlink" Target="https://documents.manchester.ac.uk/display.aspx?DocID=56003" TargetMode="External"/><Relationship Id="rId47" Type="http://schemas.openxmlformats.org/officeDocument/2006/relationships/hyperlink" Target="https://twitter.com/hashtag/covid19rftlks?src=hashtag_click" TargetMode="External"/><Relationship Id="rId50" Type="http://schemas.openxmlformats.org/officeDocument/2006/relationships/hyperlink" Target="https://www.trftlibraryknowledge.com/" TargetMode="External"/><Relationship Id="rId55" Type="http://schemas.openxmlformats.org/officeDocument/2006/relationships/hyperlink" Target="https://www.trftlibraryknowledge.com/health-newsfeeds.html" TargetMode="External"/><Relationship Id="rId7" Type="http://schemas.openxmlformats.org/officeDocument/2006/relationships/hyperlink" Target="https://www.ageing-better.org.uk/sites/default/files/2021-07/COVID-19-and-the-digital-divide.pdf" TargetMode="External"/><Relationship Id="rId12" Type="http://schemas.openxmlformats.org/officeDocument/2006/relationships/hyperlink" Target="https://www.gov.uk/government/publications/guidance-on-shielding-and-protecting-extremely-vulnerable-persons-from-covid-19" TargetMode="External"/><Relationship Id="rId17" Type="http://schemas.openxmlformats.org/officeDocument/2006/relationships/hyperlink" Target="https://www.bma.org.uk/bma-media-centre/pm-s-decision-on-rule-relaxation-is-incredibly-concerning-and-fails-to-protect-people-s-health-warns-bma?utm_source=The%20British%20Medical%20Association&amp;utm_medium=email&amp;utm_campaign=12518939_REC14Z0%20NON%20NEWSLETTER%20120721&amp;dm_i=JVX,7GBOB,24ZRDV,UAH4H,1" TargetMode="External"/><Relationship Id="rId25" Type="http://schemas.openxmlformats.org/officeDocument/2006/relationships/hyperlink" Target="https://acmedsci.ac.uk/file-download/4747802" TargetMode="External"/><Relationship Id="rId33" Type="http://schemas.openxmlformats.org/officeDocument/2006/relationships/hyperlink" Target="https://www.nature.com/articles/d41586-021-01935-7" TargetMode="External"/><Relationship Id="rId38" Type="http://schemas.openxmlformats.org/officeDocument/2006/relationships/hyperlink" Target="https://www.nihr.ac.uk/news/landmark-study-finds-one-in-two-hospitalised-covid-19-patients-develop-a-complication/28175" TargetMode="External"/><Relationship Id="rId46" Type="http://schemas.openxmlformats.org/officeDocument/2006/relationships/hyperlink" Target="https://trfthealthweeklydigest.wordpress.com/"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mj.com/content/374/bmj.n1781" TargetMode="External"/><Relationship Id="rId20" Type="http://schemas.openxmlformats.org/officeDocument/2006/relationships/hyperlink" Target="https://www.nhsemployers.org/news/face-coverings-and-social-distancing-remain-place-nhs-settings" TargetMode="External"/><Relationship Id="rId29" Type="http://schemas.openxmlformats.org/officeDocument/2006/relationships/hyperlink" Target="https://www.bmj.com/content/bmj/374/bmj.n1592.full.pdf" TargetMode="External"/><Relationship Id="rId41" Type="http://schemas.openxmlformats.org/officeDocument/2006/relationships/hyperlink" Target="https://www.gov.uk/government/news/alcoholic-liver-deaths-increased-by-21-during-year-of-the-pandemic" TargetMode="External"/><Relationship Id="rId54" Type="http://schemas.openxmlformats.org/officeDocument/2006/relationships/hyperlink" Target="http://www.trftlibraryknowledg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guidance-on-shielding-and-protecting-extremely-vulnerable-persons-from-covid-19/19-july-guidance-on-protecting-people-who-are-clinically-extremely-vulnerable-from-covid-19" TargetMode="External"/><Relationship Id="rId24" Type="http://schemas.openxmlformats.org/officeDocument/2006/relationships/hyperlink" Target="https://www.gov.uk/government/news/new-megalab-opens-to-bolster-fight-against-covid-19" TargetMode="External"/><Relationship Id="rId32" Type="http://schemas.openxmlformats.org/officeDocument/2006/relationships/hyperlink" Target="https://www.thelancet.com/journals/lancet/article/PIIS0140-6736(21)01453-7/fulltext" TargetMode="External"/><Relationship Id="rId37" Type="http://schemas.openxmlformats.org/officeDocument/2006/relationships/hyperlink" Target="https://www.nature.com/articles/s41586-021-03696-9.pdf" TargetMode="External"/><Relationship Id="rId40" Type="http://schemas.openxmlformats.org/officeDocument/2006/relationships/hyperlink" Target="https://assets.publishing.service.gov.uk/government/uploads/system/uploads/attachment_data/file/1002627/Alcohol_and_COVID_report.pdf" TargetMode="External"/><Relationship Id="rId45" Type="http://schemas.openxmlformats.org/officeDocument/2006/relationships/hyperlink" Target="https://www.trftlibraryknowledge.com/coronavirus.html" TargetMode="External"/><Relationship Id="rId53" Type="http://schemas.openxmlformats.org/officeDocument/2006/relationships/hyperlink" Target="https://twitter.com/hashtag/covid19rftlks?src=hashtag_click"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thelancet.com/journals/lanres/article/PIIS2213-2600(21)00328-3/fulltext" TargetMode="External"/><Relationship Id="rId23" Type="http://schemas.openxmlformats.org/officeDocument/2006/relationships/hyperlink" Target="https://www.bmj.com/content/374/bmj.n1760" TargetMode="External"/><Relationship Id="rId28" Type="http://schemas.openxmlformats.org/officeDocument/2006/relationships/hyperlink" Target="https://www.bmj.com/content/374/bmj.n1802" TargetMode="External"/><Relationship Id="rId36" Type="http://schemas.openxmlformats.org/officeDocument/2006/relationships/hyperlink" Target="https://jamanetwork.com/journals/jama/fullarticle/2782139" TargetMode="External"/><Relationship Id="rId49" Type="http://schemas.openxmlformats.org/officeDocument/2006/relationships/hyperlink" Target="https://www.trftlibraryknowledge.com/health-newsfeeds.html" TargetMode="External"/><Relationship Id="rId57" Type="http://schemas.openxmlformats.org/officeDocument/2006/relationships/footer" Target="footer1.xml"/><Relationship Id="rId10" Type="http://schemas.openxmlformats.org/officeDocument/2006/relationships/hyperlink" Target="https://www.gov.uk/government/publications/covid-19-response-summer-2021-roadmap/coronavirus-how-to-stay-safe-and-help-prevent-the-spread" TargetMode="External"/><Relationship Id="rId19" Type="http://schemas.openxmlformats.org/officeDocument/2006/relationships/hyperlink" Target="https://www.england.nhs.uk/2021/07/nhs-patients-staff-and-visitors-must-continue-to-wear-face-coverings-in-healthcare-settings/" TargetMode="External"/><Relationship Id="rId31" Type="http://schemas.openxmlformats.org/officeDocument/2006/relationships/hyperlink" Target="https://www.nejm.org/doi/full/10.1056/NEJMp2107528?query=featured_coronavirus" TargetMode="External"/><Relationship Id="rId44" Type="http://schemas.openxmlformats.org/officeDocument/2006/relationships/hyperlink" Target="https://www.trftlibraryknowledge.com/" TargetMode="External"/><Relationship Id="rId52" Type="http://schemas.openxmlformats.org/officeDocument/2006/relationships/hyperlink" Target="https://trfthealthweeklydigest.wordpress.com/" TargetMode="External"/><Relationship Id="rId4" Type="http://schemas.openxmlformats.org/officeDocument/2006/relationships/webSettings" Target="webSettings.xml"/><Relationship Id="rId9" Type="http://schemas.openxmlformats.org/officeDocument/2006/relationships/hyperlink" Target="https://www.gov.uk/guidance/covid-19-coronavirus-restrictions-what-you-can-and-cannot-do" TargetMode="External"/><Relationship Id="rId14" Type="http://schemas.openxmlformats.org/officeDocument/2006/relationships/hyperlink" Target="https://assets.publishing.service.gov.uk/government/uploads/system/uploads/attachment_data/file/1001177/S1303_Imperial_College_London_Evaluating_the_Roadmap_out_of_Lockdown_for_England_modelling_the_delayed_step_4.2_of_the_roadmap_in_the_context_of_the_Delta_variant__7_July_2021__1_.pdf" TargetMode="External"/><Relationship Id="rId22" Type="http://schemas.openxmlformats.org/officeDocument/2006/relationships/hyperlink" Target="https://www.england.nhs.uk/statistics/wp-content/uploads/sites/2/2021/07/May21-RTT-SPN-publication-69343.pdf" TargetMode="External"/><Relationship Id="rId27" Type="http://schemas.openxmlformats.org/officeDocument/2006/relationships/hyperlink" Target="https://acmedsci.ac.uk/more/news/winter-viruses-and-covid-19-could-push-nhs-to-breaking-point-warns-new-report" TargetMode="External"/><Relationship Id="rId30" Type="http://schemas.openxmlformats.org/officeDocument/2006/relationships/hyperlink" Target="https://www.bmj.com/content/374/bmj.n1701" TargetMode="External"/><Relationship Id="rId35" Type="http://schemas.openxmlformats.org/officeDocument/2006/relationships/hyperlink" Target="https://onlinelibrary.wiley.com/doi/epdf/10.1002/jmv.27198" TargetMode="External"/><Relationship Id="rId43" Type="http://schemas.openxmlformats.org/officeDocument/2006/relationships/hyperlink" Target="https://www.manchester.ac.uk/discover/news/older-people-during-pandemic/" TargetMode="External"/><Relationship Id="rId48" Type="http://schemas.openxmlformats.org/officeDocument/2006/relationships/hyperlink" Target="http://www.trftlibraryknowledge.com/" TargetMode="External"/><Relationship Id="rId56" Type="http://schemas.openxmlformats.org/officeDocument/2006/relationships/header" Target="header1.xml"/><Relationship Id="rId8" Type="http://schemas.openxmlformats.org/officeDocument/2006/relationships/hyperlink" Target="https://care.diabetesjournals.org/content/diacare/early/2021/07/09/dci21-0001.full.pdf" TargetMode="External"/><Relationship Id="rId51" Type="http://schemas.openxmlformats.org/officeDocument/2006/relationships/hyperlink" Target="https://www.trftlibraryknowledge.com/coronavirus.html"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11</Pages>
  <Words>4156</Words>
  <Characters>23691</Characters>
  <Application>Microsoft Office Word</Application>
  <DocSecurity>8</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7</cp:revision>
  <cp:lastPrinted>2017-09-22T10:09:00Z</cp:lastPrinted>
  <dcterms:created xsi:type="dcterms:W3CDTF">2021-07-14T09:58:00Z</dcterms:created>
  <dcterms:modified xsi:type="dcterms:W3CDTF">2021-07-16T14:14:00Z</dcterms:modified>
</cp:coreProperties>
</file>